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6C4F5D">
      <w:r>
        <w:t>Тема: Классификация угроз в СУБД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Для того чтобы обеспечить определенный уровень безопасности информационных систем, необходимо понять природу возникающих угроз, основные методы, обеспечивающие снижение уровня уязвимости системы или технологии, и стоимость соответствующих решений, соотнесенную с уровнем безопасности, который обеспечивается решением.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Недостаточный уровень осознания лицами, принимающими решения, природы угроз и назначения и характеристик методов обеспечения безопасности приводит к широкому распространению различных заблуждений.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Реализация всестороннего анализа угроз информационной безопасности любого объекта, в том числе и систем баз данных, требует проведения классификации. Научная классификация опирается на анализ предшествующего опыта, объединяет близкие по содержанию случаи в выделенные разделы классификатора. Независимо от принятого подхода к определению безопасности классификация угроз и их источников представляет самостоятельный интерес. Наличие различных классификаций позволяет исследователю не пропустить существенную для конкретной системы угрозу из богатого списка угроз информационной безопасности баз данных.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Проблема обеспечения информационной безопасности баз данных является многогранной. Сами базы данных — это модель реального мира, который бесконечно многообразен. Проектирование и сопровождение систем баз данных требуют современных программно-аппаратных средств обработки данных и достаточно сложных схем и структур организационного управления. Поэтому можно выбрать много оснований для классификации угроз информационной безопасности баз данных. Учитывая высокий темп изменений в компьютерной и телекоммуникационной индустрии, следует ясно понимать, что вряд ли представленная классификация является исчерпывающей.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Анализ современной научной литературы позволил выделить следующие варианты классификации возможных угроз нарушения информационной безопасности баз данных.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Классификация по цели реализации угрозы: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1.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Нарушение конфиденциальности информации, т. е. использование информации, хранящейся в системе, лицами или процессами, которые не были определены владельцами информации.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2.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Нарушение целостности информации, т. е. модификация или уничтожение информации для ее обесценивания путем утраты соответствия с состоянием моделируемых сущностей реального мира.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3.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Полное или частичное нарушение работоспособности системы за счет вывода из строя или некорректного изменения режимов работы компонентов системы, включая их модификацию или подмену.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lastRenderedPageBreak/>
        <w:t>Классификация по природе возникновения угрозы: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1.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Естественные угрозы—угрозы, вызванные воздействием на систему баз данных и ее компоненты объективных физических процессов или стихийно развивающихся природных явлений.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2.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Искусственные угрозы — угрозы информационной безопасности систем баз данных, связанных с деятельностью человека.</w:t>
      </w:r>
    </w:p>
    <w:p w:rsidR="006C4F5D" w:rsidRPr="006C4F5D" w:rsidRDefault="006C4F5D" w:rsidP="006C4F5D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Классификация по локализации источника угрозы представляется следующим образом: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1.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непосредственным источником которых является человек: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разглашение, передача или утрата атрибутов разграничения доступа (паролей, ключей шифрования, электронных замков и т. п.) легальными пользователями системы;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подкуп или шантаж обслуживающего персонала или пользователей, имеющих необходимые полномочия, с целью получения их параметров для процедур аутентификации;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копирование конфиденциальных данных легальным пользователем системы с целью неправомерного использования (продажа, шантаж и т. п.);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взлом системы защиты с целью выполнения деструктивных действий лицом, не являющимся законным пользователем системы;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внедрение агентов фирм-конкурентов или преступных организаций в обслуживающий персонал атакуемой информационной системы (в том числе в административную группу, в группу обеспечения информационной безопасности).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2.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непосредственным источником которых являются штатные программно-аппаратные средства информационной системы: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неквалифицированное использование или ошибочный ввод параметров программ, способных привести к полной или частичной потере работоспособности системы (аварийное завершение системных процессов, нецелевое расходование вычислительных ресурсов и т. п.);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неквалифицированное использование или ошибочный ввод параметров программ, способных привести к необратимым изменениям в системе (инициализация баз данных, форматирование или реструктуризацию носителей информации, удаление данных и т. п.);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отказы и сбои в работе операционной системы, СУБД и прикладных программ.</w:t>
      </w:r>
    </w:p>
    <w:p w:rsidR="006C4F5D" w:rsidRPr="006C4F5D" w:rsidRDefault="006C4F5D" w:rsidP="006C4F5D">
      <w:pPr>
        <w:spacing w:line="240" w:lineRule="auto"/>
        <w:ind w:left="1701" w:hanging="992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3.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непосредственным источником которых являются несанкционированно используемые программно-аппаратные средства: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нелегальное внедрение и использование программ, не являющихся необходимыми для выполнения нарушителем своих служебных обязанностей;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lastRenderedPageBreak/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 xml:space="preserve">нелегальное внедрение (из-за халатности легального пользователя) и использование троянских программ, предназначенных для исследования параметров автоматизированной информационной системы, сбора данных, </w:t>
      </w:r>
      <w:proofErr w:type="spellStart"/>
      <w:r w:rsidRPr="006C4F5D">
        <w:rPr>
          <w:rFonts w:eastAsia="Times New Roman"/>
          <w:color w:val="000000"/>
          <w:lang w:eastAsia="ru-RU"/>
        </w:rPr>
        <w:t>зомбирования</w:t>
      </w:r>
      <w:proofErr w:type="spellEnd"/>
      <w:r w:rsidRPr="006C4F5D">
        <w:rPr>
          <w:rFonts w:eastAsia="Times New Roman"/>
          <w:color w:val="000000"/>
          <w:lang w:eastAsia="ru-RU"/>
        </w:rPr>
        <w:t xml:space="preserve"> компьютера с последующим нецелевым расходованием ресурсов и т. п.;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заражение компьютера вирусами с деструктивными функциями;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работа генераторов шума и подобных источников электромагнитного излучения.</w:t>
      </w:r>
    </w:p>
    <w:p w:rsidR="006C4F5D" w:rsidRPr="006C4F5D" w:rsidRDefault="006C4F5D" w:rsidP="006C4F5D">
      <w:pPr>
        <w:spacing w:line="240" w:lineRule="auto"/>
        <w:ind w:left="1560" w:hanging="851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4.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непосредственным источником которых является среда обитания: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внезапное и длительное отключение систем электропитания;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техногенные и природные катастрофы;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всплески природных электромагнитных излучений. Классификация по расположению источника угроз. Угрозы, источник которых расположен вне контролируемой зоны места расположения автоматизированной информационной системы: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нормальной работы или разрушение систем жизнеобеспечения зданий, в которых расположены технические средства и обслуживающий персонал систему — блокирование физического доступа на объект размещения автоматизированной системы обслуживающего персонала или пользователей;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нормальной работы или разрушение внешних каналов связи (проводные линии, радиоканалы, оптоволокно).</w:t>
      </w:r>
    </w:p>
    <w:p w:rsidR="006C4F5D" w:rsidRPr="006C4F5D" w:rsidRDefault="006C4F5D" w:rsidP="006C4F5D">
      <w:pPr>
        <w:spacing w:line="240" w:lineRule="auto"/>
        <w:ind w:left="2127" w:hanging="1418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5.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источник которых расположен в пределах контролируемой зоны расположения автоматизированной информационной системы, исключая места расположения клиентских терминалов и серверных помещений: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нормальной работы или разрушение систем электропитания и водоснабжения помещений, в которых расположены технические средства, обеспечивающие работу автоматизированной системы;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физическое разрушение линий связи или аппаратуры, обеспечивающей работу информационной системы;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считывание конфиденциальной информации из аппаратных средств телекоммуникационной или вычислительной техники с использованием перехвата электромагнитных излучений;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выведения из рабочего состояния обслуживающего персонала (организация саботажа, применение отравляющих веществ, психотропных средств и т. п.).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6.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источник которых имеет доступ к терминальным устройствам автоматизированной информационной системы: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lastRenderedPageBreak/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получение параметров входа в систему и аутентифицирующей информации с использованием видеонаблюдения, клавиатурных закладок и технологий подбора паролей;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получение параметров входа в систему и аутентифицирующей информации с использованием мошеннических приемов, насилия или угрозы насилия;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получение возможности несанкционированного входа в систему в период, когда легальный пользователь покинул рабочее место, не завершив сеанс взаимодействия с системой;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получение конфиденциальной информации из распечаток результатов выполнения запросов и иных выводимых системой данных.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7.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lang w:eastAsia="ru-RU"/>
        </w:rPr>
        <w:t>Угрозы, источник которых имеет доступ к помещениям, где расположены серверы автоматизированной информационной системы: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физическое разрушение элементов серверов и коммутационной аппаратуры;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выключение электропитания серверов и коммутационной аппаратуры;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остановка серверных и иных критически важных для функционирования автоматизированной системы процессов;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уничтожение или модификация критически важных для функционирования автоматизированной системы файлов операционной системы;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штатной работы базовой операционной системы, например, за счет запуска процессов, активно расходующих ресурсы системы, критически важных для функционирования операционной системы файлов и т. п.;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 xml:space="preserve">рассылка сообщений, </w:t>
      </w:r>
      <w:proofErr w:type="spellStart"/>
      <w:r w:rsidRPr="006C4F5D">
        <w:rPr>
          <w:rFonts w:eastAsia="Times New Roman"/>
          <w:color w:val="000000"/>
          <w:lang w:eastAsia="ru-RU"/>
        </w:rPr>
        <w:t>дезорганизующих</w:t>
      </w:r>
      <w:proofErr w:type="spellEnd"/>
      <w:r w:rsidRPr="006C4F5D">
        <w:rPr>
          <w:rFonts w:eastAsia="Times New Roman"/>
          <w:color w:val="000000"/>
          <w:lang w:eastAsia="ru-RU"/>
        </w:rPr>
        <w:t xml:space="preserve"> работу пользователей и обслуживающего персонала системы.</w:t>
      </w:r>
    </w:p>
    <w:p w:rsidR="006C4F5D" w:rsidRPr="006C4F5D" w:rsidRDefault="006C4F5D" w:rsidP="006C4F5D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b/>
          <w:bCs/>
          <w:color w:val="000000"/>
          <w:lang w:eastAsia="ru-RU"/>
        </w:rPr>
        <w:t>Классификация по способу воздействия на методы и средства хранения данных информационной системы.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1.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u w:val="single"/>
          <w:lang w:eastAsia="ru-RU"/>
        </w:rPr>
        <w:t>Угрозы нарушения информационной безопасности данных, хранимых на внешних запоминающих устройствах: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конфиденциальности, уничтожение или модификация данных, сохраненных средствами создания резервных копий на магнитных носителях, путем незаконного восстановления баз данных с последующей заменой реальной копии или без таковой;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нарушение конфиденциальности, уничтожение или модификация данных, созданных штатными средствами ведения журнала изменений баз данных; дискредитация криптографических систем защиты информации путем создания копии носителей ключевой информации;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lastRenderedPageBreak/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создание несанкционированных копий файлов операционной системы, содержащих информацию баз данных для проведения последующего анализа с целью доступа к конфиденциальной информации.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2.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u w:val="single"/>
          <w:lang w:eastAsia="ru-RU"/>
        </w:rPr>
        <w:t>Угрозы нарушения информационной безопасности данных, хранимых в оперативной памяти серверов и клиентских компьютеров: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изменение информации в оперативной памяти, используемой СУБД для кэширования данных, организации хранения промежуточных результатов выполнения запросов, констант и переменных процессов обработки данных;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изменение информации в оперативной памяти, используемой операционной системой для кэширования данных, организации многопользовательского режима работы, констант и переменных процессов обработки данных;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изменение информации в оперативной памяти, используемой прикладными программами в процессе организации и выполнения сессии взаимодействия с сервером баз данных и прослушивающим процессом.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3.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u w:val="single"/>
          <w:lang w:eastAsia="ru-RU"/>
        </w:rPr>
        <w:t>Угрозы нарушения информационной безопасности данных, отображаемой на терминале пользователя или принтере: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организация имитации процесса установления взаимодействия с сервером (ложной сессии) с целью получения идентификаторов и аутентифицирующей информации пользователей;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изменение элементов данных, выводимых на терминал пользователя за счет перехвата потока вывода;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изменение элементов данных, выводимых на принтер за счет перехвата потока вывода.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4.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6C4F5D">
        <w:rPr>
          <w:rFonts w:eastAsia="Times New Roman"/>
          <w:color w:val="000000"/>
          <w:u w:val="single"/>
          <w:lang w:eastAsia="ru-RU"/>
        </w:rPr>
        <w:t>Классификация по характеру воздействия на информационную систему (целесообразно выделить два варианта):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активное воздействие, т. е. выполнение пользователем системы баз данных каких-либо действий, выходящих за рамки его обязанностей, предусматривающих взаимодействие с системой, или действия внешнего по отношению к ИС пользователя или процесса, нацеленные на достижение одной или нескольких перечисленных выше целей;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пассивное воздействие, т. е. наблюдение пользователем значений каких-либо параметров СУБД или системы баз данных, а также различных побочных эффектов и косвенных признаков с целью получения конфиденциальной информации на основе анализа собранных данных.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 xml:space="preserve">Проблема обеспечения безопасности баз данных является комплексной. Поэтому в качестве математической модели первого приближения уровень обеспечения информационной безопасности некоторой информационной системы может рассматриваться как </w:t>
      </w:r>
      <w:r w:rsidRPr="006C4F5D">
        <w:rPr>
          <w:rFonts w:eastAsia="Times New Roman"/>
          <w:color w:val="000000"/>
          <w:lang w:eastAsia="ru-RU"/>
        </w:rPr>
        <w:lastRenderedPageBreak/>
        <w:t>многомерный вектор, включающий характеристики нескольких независимых измерений: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физического;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технологического;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логического (процедурного);</w:t>
      </w:r>
    </w:p>
    <w:p w:rsidR="006C4F5D" w:rsidRPr="006C4F5D" w:rsidRDefault="006C4F5D" w:rsidP="006C4F5D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ascii="Symbol" w:eastAsia="Times New Roman" w:hAnsi="Symbol"/>
          <w:color w:val="000000"/>
          <w:lang w:eastAsia="ru-RU"/>
        </w:rPr>
        <w:t></w:t>
      </w:r>
      <w:r w:rsidRPr="006C4F5D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6C4F5D">
        <w:rPr>
          <w:rFonts w:eastAsia="Times New Roman"/>
          <w:color w:val="000000"/>
          <w:lang w:eastAsia="ru-RU"/>
        </w:rPr>
        <w:t>человеческого.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 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 xml:space="preserve">Характеристика физического измерения показывает, насколько эффективно обеспечена физическая защита элементов, образующих техническую основу информационной среды электронного бизнеса. Компьютеры, </w:t>
      </w:r>
      <w:proofErr w:type="spellStart"/>
      <w:r w:rsidRPr="006C4F5D">
        <w:rPr>
          <w:rFonts w:eastAsia="Times New Roman"/>
          <w:color w:val="000000"/>
          <w:lang w:eastAsia="ru-RU"/>
        </w:rPr>
        <w:t>маршрутизаторы</w:t>
      </w:r>
      <w:proofErr w:type="spellEnd"/>
      <w:r w:rsidRPr="006C4F5D">
        <w:rPr>
          <w:rFonts w:eastAsia="Times New Roman"/>
          <w:color w:val="000000"/>
          <w:lang w:eastAsia="ru-RU"/>
        </w:rPr>
        <w:t>, линии связи должны быть физически недоступны для потенциальных носителей деструктивных воздействий. Экраны мониторов, электромагнитные излучения аппаратуры не должны быть источником конфиденциальной информации.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Характеристика технологического измерения показывает, насколько эффективно обеспечена программно-аппаратная реализация процедур, обеспечивающих требуемый уровень безопасности: аутентификация пользователей, разграничение доступа, обеспечение целостности информационной инфраструктуры и т. п. В значительной степени средствам и методам, характерным для данного измерения безопасности баз данных, посвящен материал данного учебного пособия.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Характеристика логического (процедурного) измерения показывает, насколько адекватны логические основы заложенных в систему механизмов безопасности. Если неправильно определены блоки критически важной информации, то она становится уязвимой не из-за недостатков программно-аппаратного комплекса, а из-за ошибок проектирования системы.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>Характеристика человеческого измерения показывает, насколько адекватно поведение людей, отвечающих за безопасность системы. Методики измерения этой характеристики должны быть выбраны из арсенала гуманитарных наук. В любой автоматизированной информационной системе есть люди, обладающие критически важной информацией и отвечающие за безопасность системы. Различные мотивы (алчность, неудовлетворенность чем-либо, тщеславие и т. п.) могут привести к добровольной передаче этой информации злоумышленнику либо к непринятию необходимых мер для эффективного противодействия деструктивному воздействию на систему.</w:t>
      </w:r>
    </w:p>
    <w:p w:rsidR="006C4F5D" w:rsidRPr="006C4F5D" w:rsidRDefault="006C4F5D" w:rsidP="006C4F5D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C4F5D">
        <w:rPr>
          <w:rFonts w:eastAsia="Times New Roman"/>
          <w:color w:val="000000"/>
          <w:lang w:eastAsia="ru-RU"/>
        </w:rPr>
        <w:t xml:space="preserve">Представленные четыре измерения в некотором смысле ортогональны друг другу. Меры, улучшающие характеристики некоторого измерения, не всегда приводят к повышению </w:t>
      </w:r>
      <w:proofErr w:type="spellStart"/>
      <w:r w:rsidRPr="006C4F5D">
        <w:rPr>
          <w:rFonts w:eastAsia="Times New Roman"/>
          <w:color w:val="000000"/>
          <w:lang w:eastAsia="ru-RU"/>
        </w:rPr>
        <w:t>безопас</w:t>
      </w:r>
      <w:proofErr w:type="spellEnd"/>
      <w:r w:rsidRPr="006C4F5D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6C4F5D">
        <w:rPr>
          <w:rFonts w:eastAsia="Times New Roman"/>
          <w:color w:val="000000"/>
          <w:lang w:eastAsia="ru-RU"/>
        </w:rPr>
        <w:t>ности</w:t>
      </w:r>
      <w:proofErr w:type="spellEnd"/>
      <w:r w:rsidRPr="006C4F5D">
        <w:rPr>
          <w:rFonts w:eastAsia="Times New Roman"/>
          <w:color w:val="000000"/>
          <w:lang w:eastAsia="ru-RU"/>
        </w:rPr>
        <w:t xml:space="preserve"> системы в целом. Характеристики различных измерений должны быть сбалансированы.</w:t>
      </w:r>
    </w:p>
    <w:p w:rsidR="006C4F5D" w:rsidRDefault="006C4F5D"/>
    <w:sectPr w:rsidR="006C4F5D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C4F5D"/>
    <w:rsid w:val="006C4F5D"/>
    <w:rsid w:val="006E6FC4"/>
    <w:rsid w:val="007F5DAB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2027</Words>
  <Characters>11558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2020-04-04T13:31:00Z</dcterms:created>
  <dcterms:modified xsi:type="dcterms:W3CDTF">2020-04-04T13:40:00Z</dcterms:modified>
</cp:coreProperties>
</file>