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4"/>
        </w:rPr>
      </w:pPr>
      <w:bookmarkStart w:id="0" w:name="_Toc354555078"/>
      <w:bookmarkStart w:id="1" w:name="sub_5620"/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>Инвентаризация денежных средств, находящихся на расчетных счетах в банках. Инвентаризация денежных средств, находящихся в пути</w:t>
      </w:r>
      <w:bookmarkEnd w:id="0"/>
    </w:p>
    <w:bookmarkEnd w:id="1"/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18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соответствии с </w:t>
      </w:r>
      <w:hyperlink r:id="rId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ГК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все безналичные 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безналичном порядке. Все безналичные расчеты производятся через банки, иные кредитные организации (далее - банки), в которых открыты соответствующие счета, если иное не вытекает из закона и не обусловлено используемой формой расчетов.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Инвентаризация денежных средств, находящихся на расчетных счетах в банках и денежных средств находящихся в пути производится в обязательном порядке при составлении годовой отчетности.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Перед началом проведения инвентаризации денежных средств на расчетных счетах в банках, в первую очередь необходимо проверить на основании заключенных договоров, в каких кредитных учреждениях на момент проведения инвентаризации открыты расчетные счета. Следует помнить, что при открытии и закрытии расчетного счета в соответствии со </w:t>
      </w:r>
      <w:hyperlink r:id="rId7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ст. 118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НК РФ Нарушение налогоплательщиком установленного настоящим Кодексом срока представления в налоговый орган информации об открытии или закрытии им счета в каком-либо банке влечет взыскание штрафа в размере пяти тысяч рублей. Сроки предоставления информации об открытии или о закрытии счетов (лицевых счетов) составляют семь дней со дня открытия (закрытия) таких счетов.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наличии и движении денежных средств в валюте Российской Федерации на расчетных счетах организации, открытых в кредитных организациях в бухгалтерском учете используется </w:t>
      </w:r>
      <w:hyperlink r:id="rId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51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«Расчетные счета».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Операции по расчетному счету отражаются в бухгалтерском учете на основании выписок кредитной организации по расчетному счету и приложенных к ним денежно-расчетных документов.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Аналитический учет по </w:t>
      </w:r>
      <w:hyperlink r:id="rId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«Расчетные счета» ведется по каждому расчетному счету.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наличии и движении денежных средств в иностранных валютах на валютных счетах организации, открытых в кредитных организациях на территории Российской Федерации и за ее пределами используют </w:t>
      </w:r>
      <w:hyperlink r:id="rId10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52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«Валютные счета».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Операции по валютным счетам отражаются в бухгалтерском учете на основании выписок кредитной организации и приложенных к ним денежно-расчетных документов.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К </w:t>
      </w:r>
      <w:hyperlink r:id="rId1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«Валютные счета» могут быть открыты следующие субсчета: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12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52-1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«Валютные счета внутри страны»;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13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52-2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«Валютные счета за рубежом».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Аналитический учет по </w:t>
      </w:r>
      <w:hyperlink r:id="rId1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«Валютные счета» ведется по каждому счету, открытому для хранения денежных средств в иностранной валюте.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наличии и движении денежных средств в валюте Российской Федерации и иностранных валютах, находящихся на территории Российской Федерации и за ее пределами в аккредитивах, чековых книжках, иных платежных документах (кроме векселей), на текущих, особых и иных специальных счетах, а также о движении средств целевого финансирования в той их части, которая подлежит обособленному хранению, используют </w:t>
      </w:r>
      <w:hyperlink r:id="rId1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55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«Специальные счета в банках».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К </w:t>
      </w:r>
      <w:hyperlink r:id="rId1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«Специальные счета в банках»  могут быть открыты субсчета: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17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55-1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«Аккредитивы» - данный субсчет используется для учета денежных средств, находящихся в аккредитивах.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соответствии с </w:t>
      </w:r>
      <w:hyperlink r:id="rId1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ГК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при расчетах по аккредитиву банк, действующий по поручению плательщика об открытии аккредитива и в соответствии с его указанием (банк-эмитент), обязуется произвести платежи получателю средств или оплатить, акцептовать или учесть переводной вексель либо дать полномочие другому банку (исполняющему банку)произвести платежи получателю средств или оплатить, акцептовать или учесть переводной вексель.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Аналитический учет по </w:t>
      </w:r>
      <w:hyperlink r:id="rId1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субсчету 55-1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«Аккредитивы» ведется по каждому выставленному организацией аккредитиву.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20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55-2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«Чековые книжки» - данный субсчет используется для учета движения денежных средств, находящихся в чековых книжках. Аналитический учет по </w:t>
      </w:r>
      <w:hyperlink r:id="rId21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субсчету 55-2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«Чековые книжки» ведется по каждой полученной чековой книжке;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22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55-3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«Депозитные счета» - используется для учета денежных средств вложенных организацией в банковские и другие вклады. Аналитический учет по </w:t>
      </w:r>
      <w:hyperlink r:id="rId23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субсчету 55-3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«Депозитные счета» ведется по каждому вкладу.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На отдельных субсчетах, открываемых к </w:t>
      </w:r>
      <w:hyperlink r:id="rId2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«Специальные счета в банках», учитывается движение обособленно хранящихся в кредитной организации средств целевого финансирования. 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Наличие и движение денежных средств в иностранных валютах учитываются на </w:t>
      </w:r>
      <w:hyperlink r:id="rId2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счете 55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«Специальные счета в банках» обособленно. Построение аналитического учета по этому счету должно обеспечить возможность получения данных о наличии и движении денежных средств в аккредитивах, чековых книжках, депозитах и т.п. на территории Российской Федерации и за ее пределами.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движении денежных средств (переводов) в валюте Российской Федерации и иностранных валютах в пути, т.е. денежных сумм (преимущественно выручка от продажи товаров организаций, осуществляющих торговую деятельность), внесенных в кассы кредитных организаций, сберегательные кассы или кассы почтовых отделений для зачисления на расчетный или иной счет организации, но еще не зачисленные по назначению принято использовать </w:t>
      </w:r>
      <w:hyperlink r:id="rId2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57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«Переводы в пути». Основанием для принятия на учет по </w:t>
      </w:r>
      <w:hyperlink r:id="rId27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57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«Переводы в пути» сумм (например, при сдаче выручки от продажи) являются квитанции кредитной организации, сберегательной кассы, почтового отделения, копии сопроводительных ведомостей на сдачу выручки инкассаторам.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Движение денежных средств (переводов) в иностранных валютах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учитывается на </w:t>
      </w:r>
      <w:hyperlink r:id="rId2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счете 57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«Переводы в пути» обособленно.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Инвентаризация денежных средств, находящихся в банках на расчетном (текущем), валютном и специальных счетах, производится путем сверки остатков сумм, числящихся на соответствующих счетах по данным бухгалтерии организации, с данными выписок банков по каждому расчетному счету.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Инвентаризация денежных средств в пути производится путем сверки сумм, числящихся на </w:t>
      </w:r>
      <w:hyperlink r:id="rId2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счете 57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«Переводы в пути»,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4"/>
        </w:rPr>
      </w:pPr>
      <w:bookmarkStart w:id="2" w:name="_Toc354555079"/>
      <w:bookmarkStart w:id="3" w:name="sub_5630"/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Инвентаризация бланков строгой отчетности</w:t>
      </w:r>
      <w:bookmarkEnd w:id="2"/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16"/>
          <w:szCs w:val="24"/>
        </w:rPr>
      </w:pPr>
    </w:p>
    <w:bookmarkEnd w:id="3"/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125C42">
        <w:rPr>
          <w:rFonts w:ascii="Times New Roman" w:eastAsia="Times New Roman" w:hAnsi="Times New Roman" w:cs="Arial"/>
          <w:b/>
          <w:sz w:val="24"/>
          <w:szCs w:val="24"/>
        </w:rPr>
        <w:fldChar w:fldCharType="begin"/>
      </w:r>
      <w:r w:rsidR="00F0295D" w:rsidRPr="00F0295D">
        <w:rPr>
          <w:rFonts w:ascii="Times New Roman" w:eastAsia="Times New Roman" w:hAnsi="Times New Roman" w:cs="Arial"/>
          <w:b/>
          <w:sz w:val="28"/>
          <w:szCs w:val="24"/>
        </w:rPr>
        <w:instrText xml:space="preserve"> HYPERLINK "garantF1://12039428.0" </w:instrText>
      </w:r>
      <w:r w:rsidRPr="00125C42">
        <w:rPr>
          <w:rFonts w:ascii="Times New Roman" w:eastAsia="Times New Roman" w:hAnsi="Times New Roman" w:cs="Arial"/>
          <w:b/>
          <w:sz w:val="24"/>
          <w:szCs w:val="24"/>
        </w:rPr>
        <w:fldChar w:fldCharType="separate"/>
      </w:r>
      <w:proofErr w:type="spellStart"/>
      <w:r w:rsidR="00F0295D" w:rsidRPr="00F0295D">
        <w:rPr>
          <w:rFonts w:ascii="Times New Roman" w:eastAsia="Times New Roman" w:hAnsi="Times New Roman" w:cs="Arial"/>
          <w:bCs/>
          <w:sz w:val="28"/>
          <w:szCs w:val="24"/>
        </w:rPr>
        <w:t>Постановлением</w:t>
      </w:r>
      <w:r w:rsidRPr="00F0295D">
        <w:rPr>
          <w:rFonts w:ascii="Times New Roman" w:eastAsia="Times New Roman" w:hAnsi="Times New Roman" w:cs="Arial"/>
          <w:bCs/>
          <w:sz w:val="28"/>
          <w:szCs w:val="24"/>
        </w:rPr>
        <w:fldChar w:fldCharType="end"/>
      </w:r>
      <w:r w:rsidR="00F0295D" w:rsidRPr="00F0295D">
        <w:rPr>
          <w:rFonts w:ascii="Times New Roman" w:eastAsia="Times New Roman" w:hAnsi="Times New Roman" w:cs="Arial"/>
          <w:sz w:val="28"/>
          <w:szCs w:val="24"/>
        </w:rPr>
        <w:t>Правительства</w:t>
      </w:r>
      <w:proofErr w:type="spellEnd"/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Российской Федерации от 31 марта 2005 г. № 171 «Об утверждении положения об осуществлении наличных денежных расчетов и (или) расчетов с использованием платежных карт» устанавливается порядок осуществления организациями и индивидуальными предпринимателями наличных денежных расчетов и (или) расчетов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отчетности, приравненных к кассовым чекам, а также порядок утверждения, учета, хранения и уничтожения бланков.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К бланкам строгой отчетности, приравненным к кассовым чекам, относятся квитанции, билеты, проездные документы, талоны, путевки, абонементы и другие документы, предназначенные для осуществления наличных денежных расчетов и (или) расчетов с использованием платежных карт в случае оказания услуг населению (далее - бланки).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30" w:history="1">
        <w:proofErr w:type="spellStart"/>
        <w:r w:rsidR="00F0295D"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Приказом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Минфина</w:t>
      </w:r>
      <w:proofErr w:type="spellEnd"/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Российской от 29 декабря 2000 г. № 124н «Об утверждении бланков строгой отчетности» утверждены следующие бланки: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1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№ 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Квитанция в приеме почтовых отправлений;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2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№ 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Квитанция в приеме почтового перевода денежных средств;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3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№ 47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Квитанция в приеме разного рода платы;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lastRenderedPageBreak/>
        <w:t xml:space="preserve">- </w:t>
      </w:r>
      <w:hyperlink r:id="rId34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СП-2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Квитанция в приеме платы за подписку на газеты, журналы и книги;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5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МТФ-2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Талон на междугородное телефонное соединение и дополнительные услуги;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6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МТФ-4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Бланк исходящего заказа за наличный расчет;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b/>
          <w:sz w:val="28"/>
          <w:szCs w:val="24"/>
        </w:rPr>
        <w:t xml:space="preserve">- </w:t>
      </w:r>
      <w:hyperlink r:id="rId37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форма ТФ-2/22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Акт - квитанция на выполнение гарантийных и платных работ по ремонту абонентских установок.</w:t>
      </w:r>
    </w:p>
    <w:p w:rsidR="00F0295D" w:rsidRPr="00F0295D" w:rsidRDefault="00125C42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hyperlink r:id="rId38" w:history="1">
        <w:proofErr w:type="spellStart"/>
        <w:r w:rsidR="00F0295D"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Приказом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>Минфина</w:t>
      </w:r>
      <w:proofErr w:type="spellEnd"/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Российской Федерации от 14 января 2008 г. №  3н № «Об утверждении форм бланков строгой отчетности» утверждена </w:t>
      </w:r>
      <w:hyperlink r:id="rId39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форма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бланка строгой отчетности «Залоговый билет» и </w:t>
      </w:r>
      <w:hyperlink r:id="rId40" w:history="1">
        <w:r w:rsidR="00F0295D"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форма</w:t>
        </w:r>
      </w:hyperlink>
      <w:r w:rsidR="00F0295D" w:rsidRPr="00F0295D">
        <w:rPr>
          <w:rFonts w:ascii="Times New Roman" w:eastAsia="Times New Roman" w:hAnsi="Times New Roman" w:cs="Arial"/>
          <w:sz w:val="28"/>
          <w:szCs w:val="24"/>
        </w:rPr>
        <w:t xml:space="preserve"> бланка строгой отчетности «Сохранная квитанция».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Инвентаризация бланков осуществляется одновременно с инвентаризацией находящихся в кассе наличных денежных средств и кассовых документов.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проведении инвентаризации бланков строгой отчетности в первую очередь необходимо проверить правильность оформление и хранения бланков.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К оформлению бланков предъявляются такие требования, как обязательное указание сведений об утверждении формы бланка, наименование, шестизначный номер и серия, код формы бланка по </w:t>
      </w:r>
      <w:hyperlink r:id="rId4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ОКУД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, наименование и код организации или индивидуального предпринимателя, выдавших бланк, по Общероссийскому классификатору предприятий и организаций, идентификационный номер налогоплательщика, вид услуг, единица измерения оказания услуг, стоимость услуги в денежном выражении, в том числе размер платы, осуществляемой наличными денежными средствами либо с использованием платежной карты, дата осуществления расчета, наименование должности, фамилия, имя и отчество лица, ответственного за совершение операции и правильность ее оформления, место для личной подписи, печати (штампа) организации или индивидуального предпринимателя.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том случае, если бланк строгой отчетности предназначен для осуществления наличных денежных расчетов за проезд наземным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 xml:space="preserve">пассажирским транспортом общего пользования, необходимо, что бы в нем содержались следующие реквизиты: наименование, шестизначный номер и серия, код формы бланка по </w:t>
      </w:r>
      <w:hyperlink r:id="rId42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ОКУД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, наименование организации или индивидуального предпринимателя, выдавших бланк, вид транспортного средства, на котором оказывается услуга по перевозке пассажиров, стоимость услуги в денежном выражении, сведений об изготовителе (сокращенное наименование, идентификационный номер налогоплательщика, место нахождения, номер заказа и год его выполнения, тираж).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 работником организации, на которого будет возложена обязанность по получению, хранению, выдаче бланков строгой отчетности, а также прием от населения денежных средств в соответствии с оформленным бланком заключается договор о полной материальной ответственности. Причем руководитель организации со своей стороны обязан обеспечить все необходимые условия для обеспечения сохранности бланков. Так например, необходимо что бы бланки хранились в металлических шкафах или сейфах, в организация, получающих такие бланки в большом количестве (например вокзальные кассы) необходимо оборудование специальных помещений, причем по окончании рабочего дня места хранения бланков опечатываются или опломбируются.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ходе проведения инвентаризации бланков строгой отчетности необходимо в первую очередь проверить фактическое наличие бланков документов строгой отчетности.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наличии и движении находящихся на хранении и выдаваемых под отчет бланков строгой отчетности - квитанционные книжки, бланки удостоверений, дипломов, различные абонементы, талоны, билеты, бланки товарно-сопроводительных документов и т.п. используют </w:t>
      </w:r>
      <w:proofErr w:type="spellStart"/>
      <w:r w:rsidRPr="00F0295D">
        <w:rPr>
          <w:rFonts w:ascii="Times New Roman" w:eastAsia="Times New Roman" w:hAnsi="Times New Roman" w:cs="Arial"/>
          <w:sz w:val="28"/>
          <w:szCs w:val="24"/>
        </w:rPr>
        <w:t>забалансовый</w:t>
      </w:r>
      <w:proofErr w:type="spellEnd"/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  <w:hyperlink r:id="rId43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006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«Бланки строгой отчетности». Аналитический учет по </w:t>
      </w:r>
      <w:hyperlink r:id="rId4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006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«Бланки строгой отчетности» ведется по каждому виду бланков строгой отчетности и местам их хранения.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Хранение копий использованных бланков строгой отчетности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(корешков), подтверждающих получение наличных денежных средств в оплату реализованных услуг, должно осуществляться в течение срока не менее 5 лет.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Cs w:val="24"/>
        </w:rPr>
      </w:pPr>
      <w:bookmarkStart w:id="4" w:name="sub_5700"/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Arial"/>
          <w:b/>
          <w:bCs/>
          <w:sz w:val="28"/>
          <w:szCs w:val="24"/>
        </w:rPr>
      </w:pPr>
      <w:bookmarkStart w:id="5" w:name="_Toc354555080"/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Инвентаризация резервов</w:t>
      </w:r>
      <w:bookmarkEnd w:id="5"/>
    </w:p>
    <w:bookmarkEnd w:id="4"/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0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Основной задачей проведения инвентаризации резервов предстоящих расходов и платежей - проверка правильности и обоснованности созданных на предприятии резервов.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соответствии с </w:t>
      </w:r>
      <w:hyperlink r:id="rId45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НК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организации могут создавать следующие виды резервов: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резервы на оплату отпусков;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резервы по сомнительным долгам;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резервы по гарантийному ремонту и гарантийному обслуживанию;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резервы предстоящих расходов, направляемых на цели, обеспечивающие социальную защиту инвалидов.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Резервы по сомнительным долгам используются для покрытия убытков, полученных от безнадежных долгов. К безнадежным долгам относят те долги, срок исковой давности по которым истек или, в соответствии с гражданским законодательством, либо само обязательство было прекращено.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К сомнительным долгам относят любую задолженность перед налогоплательщиком, которая была образована в следствии реализации товаров, выполнении работ, оказании услуг и т.д., если эта задолженность не погашена в срок, в соответствии с заключенным договором, и не обеспечена банковской гарантией, залогом, поручительством.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Действующим на сегодняшним законодательством, не предусмотрено, обязательное наличие резерва по сомнительным долгам для организации, поэтому решение о создании такого резерва принимается организациями самостоятельно, и обязательно отображается в учетной политики организации.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Размер создаваемого резерва по сомнительным долгам, в соответствии с </w:t>
      </w:r>
      <w:hyperlink r:id="rId46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НК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РФ, определяется исходя из результатов от проведенной на последнее число отчетного периода инвентаризации, и исчисляется следующим образом: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- по сомнительной задолженности со сроком возникновения свыше 90 календарных дней - в сумму создаваемого резерва включается полная сумма выявленной на основании инвентаризации задолженности;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по сомнительной задолженности со сроком возникновения от 45 до 90 календарных дней (включительно) - в сумму резерва включается 50 процентов от суммы выявленной на основании инвентаризации задолженности;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по сомнительной задолженности со сроком возникновения до 45 дней - не увеличивает сумму создаваемого резерва.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При этом сумма создаваемого резерва по сомнительным долгам не может превышать 10 процентов от выручки отчетного (налогового) периода, определяемой в соответствии с </w:t>
      </w:r>
      <w:hyperlink r:id="rId47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НК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РФ.</w:t>
      </w:r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F0295D">
        <w:rPr>
          <w:rFonts w:ascii="Times New Roman" w:eastAsia="Times New Roman" w:hAnsi="Times New Roman" w:cs="Arial"/>
          <w:sz w:val="28"/>
          <w:szCs w:val="24"/>
        </w:rPr>
        <w:t>Если сумма образованного резерва по сомнительным долгам не была израсходована полностью налогоплательщиком в отчетном периоде, она может быть перенесена на следующие периоды.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обобщения информации о состоянии и движении сумм, зарезервированных в целях равномерного включения расходов в затраты на производство и расходы на продажу в бухгалтерском учете используется </w:t>
      </w:r>
      <w:hyperlink r:id="rId4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 96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«Резервы предстоящих расходов».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Правильность образования и использования сумм по тому или иному резерву периодически (а на конец года обязательно) проверяется по данным смет, расчетов и т.п. и при необходимости корректируется.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Аналитический учет по </w:t>
      </w:r>
      <w:hyperlink r:id="rId4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счету 96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«Резервы предстоящих расходов» ведется по отдельным резервам.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соответствии с </w:t>
      </w:r>
      <w:hyperlink r:id="rId50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Положением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по ведению бухгалтерского учета и бухгалтерской отчетности в Российской Федерации, организации вправе создавать резервы на предстоящую оплату отпусков работникам, выплату ежегодного вознаграждения за выслугу лет, выплату вознаграждений по итогам работы, в целях равномерного включения предстоящих расходов в издержки производства или обращения отчетного периода. Если решение о создании такого резерва принято, необходимо в учетной политике организации, для целей налогообложения отразить принятый способ резервирования, определить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ежемесячную сумму отчислений и ежемесячный процент.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Для определения размера ежемесячных отчислений на создание резерва на оплату отпусков необходимо составить специальный расчет (смету), исходя из сведений о предполагаемой годовой сумме расходов на оплату отпусков, включая сумму страховых взносов, в соответствии, с </w:t>
      </w:r>
      <w:hyperlink r:id="rId5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Федеральным законом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от 24 июля 2009 г. № 212-ФЗ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Таблица 1 - Тарифы страховых взносов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</w:p>
    <w:tbl>
      <w:tblPr>
        <w:tblW w:w="9798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25"/>
        <w:gridCol w:w="1417"/>
        <w:gridCol w:w="1276"/>
        <w:gridCol w:w="1276"/>
        <w:gridCol w:w="1207"/>
        <w:gridCol w:w="997"/>
      </w:tblGrid>
      <w:tr w:rsidR="00F0295D" w:rsidRPr="00F0295D" w:rsidTr="00F0295D">
        <w:trPr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ПФР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ФСС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ФФОМС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ТФОМС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Итого</w:t>
            </w:r>
          </w:p>
        </w:tc>
      </w:tr>
      <w:tr w:rsidR="00F0295D" w:rsidRPr="00F0295D" w:rsidTr="00F0295D">
        <w:trPr>
          <w:jc w:val="center"/>
        </w:trPr>
        <w:tc>
          <w:tcPr>
            <w:tcW w:w="9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2010 г.</w:t>
            </w:r>
          </w:p>
        </w:tc>
      </w:tr>
      <w:tr w:rsidR="00F0295D" w:rsidRPr="00F0295D" w:rsidTr="00F0295D">
        <w:trPr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Общий режим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1,1%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26%</w:t>
            </w:r>
          </w:p>
        </w:tc>
      </w:tr>
      <w:tr w:rsidR="00F0295D" w:rsidRPr="00F0295D" w:rsidTr="00F0295D">
        <w:trPr>
          <w:jc w:val="center"/>
        </w:trPr>
        <w:tc>
          <w:tcPr>
            <w:tcW w:w="9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2011 г.</w:t>
            </w:r>
          </w:p>
        </w:tc>
      </w:tr>
      <w:tr w:rsidR="00F0295D" w:rsidRPr="00F0295D" w:rsidTr="00F0295D">
        <w:trPr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Общий режим, УСНО, ЕНВД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2,1%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3%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34%</w:t>
            </w:r>
          </w:p>
        </w:tc>
      </w:tr>
      <w:tr w:rsidR="00F0295D" w:rsidRPr="00F0295D" w:rsidTr="00F0295D">
        <w:trPr>
          <w:jc w:val="center"/>
        </w:trPr>
        <w:tc>
          <w:tcPr>
            <w:tcW w:w="97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С 2012 г.</w:t>
            </w:r>
          </w:p>
        </w:tc>
      </w:tr>
      <w:tr w:rsidR="00F0295D" w:rsidRPr="00F0295D" w:rsidTr="00F0295D">
        <w:trPr>
          <w:jc w:val="center"/>
        </w:trPr>
        <w:tc>
          <w:tcPr>
            <w:tcW w:w="3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Общий режим, УСНО, ЕНВД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2,9%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5,1%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95D" w:rsidRPr="00F0295D" w:rsidRDefault="00F0295D" w:rsidP="00F0295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F0295D">
              <w:rPr>
                <w:rFonts w:ascii="Times New Roman" w:eastAsia="Times New Roman" w:hAnsi="Times New Roman" w:cs="Arial"/>
                <w:sz w:val="24"/>
                <w:szCs w:val="24"/>
              </w:rPr>
              <w:t>34%</w:t>
            </w:r>
          </w:p>
        </w:tc>
      </w:tr>
    </w:tbl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Процент отчислений в указанный резерв на оплату отпусков определяется как отношение предполагаемой годовой суммы расходов на оплату отпусков к предполагаемому годовому размеру расходов на оплату труда.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Инвентаризацию резерва предстоящих расходов на оплату отпусков необходимо проводить в обязательном порядке на конец отчетного периода. Если на последнее число текущего налогового периода (31 декабря) будут выявлены суммы резерва, которые не были использованы в текущем периоде, необходимо в обязательном порядке включить их в состав налоговой базы текущего периода.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При превышении фактически начисленного резерва над суммой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подтвержденного инвентаризацией расчета в бухгалтерском учете необходимо сделать следующую запись: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52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20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«Основное производство», </w:t>
      </w:r>
      <w:hyperlink r:id="rId53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23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«Вспомогательное производство», </w:t>
      </w:r>
      <w:hyperlink r:id="rId54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25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«Общепроизводственные расходы», </w:t>
      </w:r>
      <w:hyperlink r:id="rId55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26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«Общехозяйственные расходы», </w:t>
      </w:r>
      <w:hyperlink r:id="rId56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44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«Расходы на продажу» -  Кредит </w:t>
      </w:r>
      <w:hyperlink r:id="rId57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«Резервы предстоящих расходов» - сумма резерва включена в затраты;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58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«Резервы предстоящих расходов» - Кредит </w:t>
      </w:r>
      <w:hyperlink r:id="rId59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97</w:t>
        </w:r>
      </w:hyperlink>
      <w:r w:rsidRPr="00F0295D">
        <w:rPr>
          <w:rFonts w:ascii="Times New Roman" w:eastAsia="Times New Roman" w:hAnsi="Times New Roman" w:cs="Arial"/>
          <w:b/>
          <w:bCs/>
          <w:sz w:val="28"/>
          <w:szCs w:val="24"/>
        </w:rPr>
        <w:t xml:space="preserve"> «</w:t>
      </w:r>
      <w:r w:rsidRPr="00F0295D">
        <w:rPr>
          <w:rFonts w:ascii="Times New Roman" w:eastAsia="Times New Roman" w:hAnsi="Times New Roman" w:cs="Arial"/>
          <w:sz w:val="28"/>
          <w:szCs w:val="24"/>
        </w:rPr>
        <w:t xml:space="preserve">Расходы будущих периодов» - сумма расходов будущих периодов списана за счет </w:t>
      </w:r>
      <w:proofErr w:type="spellStart"/>
      <w:r w:rsidRPr="00F0295D">
        <w:rPr>
          <w:rFonts w:ascii="Times New Roman" w:eastAsia="Times New Roman" w:hAnsi="Times New Roman" w:cs="Arial"/>
          <w:sz w:val="28"/>
          <w:szCs w:val="24"/>
        </w:rPr>
        <w:t>доначисленного</w:t>
      </w:r>
      <w:proofErr w:type="spellEnd"/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резерва.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том случае, если сумма фактически начисленного резерва будет меньше суммы резерва, подтвержденного в ходе инвентаризации, возникшая разница включается в состав доходов, в бухгалтерском учете делается следующая запись: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Дебет </w:t>
      </w:r>
      <w:hyperlink r:id="rId60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96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«Резервы предстоящих расходов» - Кредит </w:t>
      </w:r>
      <w:hyperlink r:id="rId61" w:history="1">
        <w:r w:rsidRPr="00F0295D">
          <w:rPr>
            <w:rFonts w:ascii="Times New Roman" w:eastAsia="Times New Roman" w:hAnsi="Times New Roman" w:cs="Arial"/>
            <w:b/>
            <w:bCs/>
            <w:sz w:val="28"/>
            <w:szCs w:val="24"/>
          </w:rPr>
          <w:t>91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>«Прочие доходы и расходы»,  субсчет «Прочие доходы».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Исходя из количества дней неиспользованного отпуска, среднедневной суммы расходов на оплату труда работников резерв предстоящих расходов на оплату отпуска работников предприятия должен быть уточнен.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Если в следующем, после проведенной инвентаризации периоде, организацией не планируется дальнейшее создание резерва на оплату отпусков, необходимо внести соответствующие изменения в учетную политику предприятия и имеющийся остаток резерва по данным бухгалтерского учета, в целях налогообложения относится к </w:t>
      </w:r>
      <w:proofErr w:type="spellStart"/>
      <w:r w:rsidRPr="00F0295D">
        <w:rPr>
          <w:rFonts w:ascii="Times New Roman" w:eastAsia="Times New Roman" w:hAnsi="Times New Roman" w:cs="Arial"/>
          <w:sz w:val="28"/>
          <w:szCs w:val="24"/>
        </w:rPr>
        <w:t>внереализационным</w:t>
      </w:r>
      <w:proofErr w:type="spellEnd"/>
      <w:r w:rsidRPr="00F0295D">
        <w:rPr>
          <w:rFonts w:ascii="Times New Roman" w:eastAsia="Times New Roman" w:hAnsi="Times New Roman" w:cs="Arial"/>
          <w:sz w:val="28"/>
          <w:szCs w:val="24"/>
        </w:rPr>
        <w:t xml:space="preserve"> доходам.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В соответствии с </w:t>
      </w:r>
      <w:hyperlink r:id="rId62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НК</w:t>
        </w:r>
      </w:hyperlink>
      <w:r w:rsidRPr="00F0295D">
        <w:rPr>
          <w:rFonts w:ascii="Times New Roman" w:eastAsia="Times New Roman" w:hAnsi="Times New Roman" w:cs="Arial"/>
          <w:sz w:val="28"/>
          <w:szCs w:val="24"/>
        </w:rPr>
        <w:t xml:space="preserve"> РФ сомнительным долгом признается любая задолженность перед налогоплательщиком, возникшая в связи с реализацией товаров, выполнением работ, оказанием услуг, в случае, если эта задолженность не погашена в сроки, установленные договором, и не обеспечена залогом, поручительством, банковской гарантией.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Безнадежными долгами (долгами, нереальными ко взысканию) признаются те долги перед налогоплательщиком, по которым истек </w:t>
      </w:r>
      <w:r w:rsidRPr="00F0295D">
        <w:rPr>
          <w:rFonts w:ascii="Times New Roman" w:eastAsia="Times New Roman" w:hAnsi="Times New Roman" w:cs="Arial"/>
          <w:sz w:val="28"/>
          <w:szCs w:val="24"/>
        </w:rPr>
        <w:lastRenderedPageBreak/>
        <w:t>установленный срок исковой давности, а также те долги, по которым в соответствии с гражданским законодательством обязательство прекращено вследствие невозможности его исполнения, на основании акта государственного органа или ликвидации организации.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Следует помнить, что сумма резерва по сомнительным долгам определяется по результатам проведенной инвентаризации в следующем порядке: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если срок возникновения сомнительной задолженности свыше 90 дней - в резерв включается полная сумма выявленной задолженности;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срок возникновения задолженности от 45 до 90 дней - в резерв включается 50 процентов от выявленной суммы;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- срок возникновения задолженности до 45 дней - не включается в сумму резерва.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При этом сумма резерва не может превышать 10 процентов от выручки отчетного (налогового) периода.</w:t>
      </w:r>
      <w:r>
        <w:rPr>
          <w:rFonts w:ascii="Times New Roman" w:eastAsia="Times New Roman" w:hAnsi="Times New Roman" w:cs="Arial"/>
          <w:sz w:val="28"/>
          <w:szCs w:val="24"/>
        </w:rPr>
        <w:t xml:space="preserve"> </w:t>
      </w:r>
      <w:r w:rsidRPr="00F0295D">
        <w:rPr>
          <w:rFonts w:ascii="Times New Roman" w:eastAsia="Times New Roman" w:hAnsi="Times New Roman" w:cs="Arial"/>
          <w:sz w:val="28"/>
          <w:szCs w:val="24"/>
        </w:rPr>
        <w:t>Если сумма резерва по сомнительным долгам будет не полностью использован организацией в отчетном периоде, допускается ее перенесение на следующий отчетный или налоговый период.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В ходе проведения инвентаризации резерва по сомнительным долгам необходимо проверить правильность и документальную обоснованность признания долга сомнительным. Провести анализ имеющихся резервов, сопоставить размер резерва с выручкой предприятия за период.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b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 xml:space="preserve">По результатам инвентаризации составляется Акт инвентаризации расчетов с покупателями, поставщиками и прочими дебиторами и кредиторами по </w:t>
      </w:r>
      <w:hyperlink r:id="rId63" w:history="1"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форме</w:t>
        </w:r>
        <w:r>
          <w:rPr>
            <w:rFonts w:ascii="Times New Roman" w:eastAsia="Times New Roman" w:hAnsi="Times New Roman" w:cs="Arial"/>
            <w:bCs/>
            <w:sz w:val="28"/>
            <w:szCs w:val="24"/>
          </w:rPr>
          <w:t xml:space="preserve"> </w:t>
        </w:r>
        <w:r w:rsidRPr="00F0295D">
          <w:rPr>
            <w:rFonts w:ascii="Times New Roman" w:eastAsia="Times New Roman" w:hAnsi="Times New Roman" w:cs="Arial"/>
            <w:bCs/>
            <w:sz w:val="28"/>
            <w:szCs w:val="24"/>
          </w:rPr>
          <w:t>№ ИНВ-17</w:t>
        </w:r>
      </w:hyperlink>
      <w:r w:rsidRPr="00F0295D">
        <w:rPr>
          <w:rFonts w:ascii="Times New Roman" w:eastAsia="Times New Roman" w:hAnsi="Times New Roman" w:cs="Arial"/>
          <w:bCs/>
          <w:sz w:val="28"/>
          <w:szCs w:val="24"/>
        </w:rPr>
        <w:t>(Приложение 3)</w:t>
      </w:r>
      <w:r w:rsidRPr="00F0295D">
        <w:rPr>
          <w:rFonts w:ascii="Times New Roman" w:eastAsia="Times New Roman" w:hAnsi="Times New Roman" w:cs="Arial"/>
          <w:b/>
          <w:sz w:val="28"/>
          <w:szCs w:val="24"/>
        </w:rPr>
        <w:t>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8"/>
          <w:szCs w:val="24"/>
        </w:rPr>
      </w:pPr>
      <w:r w:rsidRPr="00F0295D">
        <w:rPr>
          <w:rFonts w:ascii="Times New Roman" w:eastAsia="Times New Roman" w:hAnsi="Times New Roman" w:cs="Arial"/>
          <w:sz w:val="28"/>
          <w:szCs w:val="24"/>
        </w:rPr>
        <w:t>По результатам инвентаризации сумма резерва может быть, как уменьшена, так и увеличена либо же может быть принято решение о полном списании или же о оставлении без изменений суммы резерва.</w:t>
      </w:r>
    </w:p>
    <w:p w:rsidR="00F0295D" w:rsidRPr="00F0295D" w:rsidRDefault="00F0295D" w:rsidP="00F029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0295D" w:rsidRDefault="00F0295D"/>
    <w:sectPr w:rsidR="00F0295D" w:rsidSect="00F0295D"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051" w:rsidRDefault="00A30051" w:rsidP="00820BEF">
      <w:pPr>
        <w:spacing w:after="0" w:line="240" w:lineRule="auto"/>
      </w:pPr>
      <w:r>
        <w:separator/>
      </w:r>
    </w:p>
  </w:endnote>
  <w:endnote w:type="continuationSeparator" w:id="1">
    <w:p w:rsidR="00A30051" w:rsidRDefault="00A30051" w:rsidP="0082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051" w:rsidRDefault="00A30051" w:rsidP="00820BEF">
      <w:pPr>
        <w:spacing w:after="0" w:line="240" w:lineRule="auto"/>
      </w:pPr>
      <w:r>
        <w:separator/>
      </w:r>
    </w:p>
  </w:footnote>
  <w:footnote w:type="continuationSeparator" w:id="1">
    <w:p w:rsidR="00A30051" w:rsidRDefault="00A30051" w:rsidP="00820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295D"/>
    <w:rsid w:val="00125C42"/>
    <w:rsid w:val="00820BEF"/>
    <w:rsid w:val="00A30051"/>
    <w:rsid w:val="00E021FB"/>
    <w:rsid w:val="00F0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7" type="connector" idref="#Прямая со стрелкой 31"/>
        <o:r id="V:Rule18" type="connector" idref="#Прямая со стрелкой 28"/>
        <o:r id="V:Rule19" type="connector" idref="#Прямая со стрелкой 30"/>
        <o:r id="V:Rule20" type="connector" idref="#Прямая со стрелкой 27"/>
        <o:r id="V:Rule21" type="connector" idref="#Прямая со стрелкой 6"/>
        <o:r id="V:Rule22" type="connector" idref="#Прямая со стрелкой 10"/>
        <o:r id="V:Rule23" type="connector" idref="#Прямая со стрелкой 29"/>
        <o:r id="V:Rule24" type="connector" idref="#Прямая со стрелкой 12"/>
        <o:r id="V:Rule25" type="connector" idref="#Прямая со стрелкой 11"/>
        <o:r id="V:Rule26" type="connector" idref="#Прямая со стрелкой 13"/>
        <o:r id="V:Rule27" type="connector" idref="#Прямая со стрелкой 14"/>
        <o:r id="V:Rule28" type="connector" idref="#Прямая со стрелкой 25"/>
        <o:r id="V:Rule29" type="connector" idref="#Прямая со стрелкой 4"/>
        <o:r id="V:Rule30" type="connector" idref="#Прямая со стрелкой 24"/>
        <o:r id="V:Rule31" type="connector" idref="#Прямая со стрелкой 15"/>
        <o:r id="V:Rule3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42"/>
  </w:style>
  <w:style w:type="paragraph" w:styleId="1">
    <w:name w:val="heading 1"/>
    <w:basedOn w:val="a"/>
    <w:next w:val="a"/>
    <w:link w:val="10"/>
    <w:uiPriority w:val="99"/>
    <w:qFormat/>
    <w:rsid w:val="00F0295D"/>
    <w:pPr>
      <w:widowControl w:val="0"/>
      <w:autoSpaceDE w:val="0"/>
      <w:autoSpaceDN w:val="0"/>
      <w:adjustRightInd w:val="0"/>
      <w:spacing w:after="0" w:line="360" w:lineRule="auto"/>
      <w:ind w:firstLine="720"/>
      <w:jc w:val="both"/>
      <w:outlineLvl w:val="0"/>
    </w:pPr>
    <w:rPr>
      <w:rFonts w:ascii="Times New Roman" w:hAnsi="Times New Roman" w:cs="Arial"/>
      <w:b/>
      <w:bCs/>
      <w:sz w:val="28"/>
      <w:szCs w:val="24"/>
    </w:rPr>
  </w:style>
  <w:style w:type="paragraph" w:styleId="2">
    <w:name w:val="heading 2"/>
    <w:basedOn w:val="1"/>
    <w:next w:val="a"/>
    <w:link w:val="20"/>
    <w:uiPriority w:val="99"/>
    <w:qFormat/>
    <w:rsid w:val="00F0295D"/>
    <w:pPr>
      <w:outlineLvl w:val="1"/>
    </w:pPr>
    <w:rPr>
      <w:b w:val="0"/>
      <w:bCs w:val="0"/>
    </w:rPr>
  </w:style>
  <w:style w:type="paragraph" w:styleId="3">
    <w:name w:val="heading 3"/>
    <w:basedOn w:val="2"/>
    <w:next w:val="a"/>
    <w:link w:val="30"/>
    <w:uiPriority w:val="99"/>
    <w:qFormat/>
    <w:rsid w:val="00F0295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295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295D"/>
    <w:rPr>
      <w:rFonts w:ascii="Times New Roman" w:hAnsi="Times New Roman" w:cs="Arial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F0295D"/>
    <w:rPr>
      <w:rFonts w:ascii="Times New Roman" w:hAnsi="Times New Roman" w:cs="Arial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F0295D"/>
    <w:rPr>
      <w:rFonts w:ascii="Times New Roman" w:hAnsi="Times New Roman" w:cs="Arial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F0295D"/>
    <w:rPr>
      <w:rFonts w:ascii="Times New Roman" w:hAnsi="Times New Roman" w:cs="Arial"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0295D"/>
  </w:style>
  <w:style w:type="character" w:customStyle="1" w:styleId="a3">
    <w:name w:val="Цветовое выделение"/>
    <w:uiPriority w:val="99"/>
    <w:rsid w:val="00F0295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F0295D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F0295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7">
    <w:name w:val="Внимание: недобросовестность!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8">
    <w:name w:val="Основное меню (преемственное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9">
    <w:name w:val="Заголовок"/>
    <w:basedOn w:val="a8"/>
    <w:next w:val="a"/>
    <w:uiPriority w:val="99"/>
    <w:rsid w:val="00F0295D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F0295D"/>
  </w:style>
  <w:style w:type="paragraph" w:customStyle="1" w:styleId="ab">
    <w:name w:val="Заголовок статьи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Arial"/>
      <w:sz w:val="24"/>
      <w:szCs w:val="24"/>
    </w:rPr>
  </w:style>
  <w:style w:type="character" w:customStyle="1" w:styleId="ac">
    <w:name w:val="Заголовок чужого сообщения"/>
    <w:basedOn w:val="a3"/>
    <w:uiPriority w:val="99"/>
    <w:rsid w:val="00F0295D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0295D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color w:val="F0F0F0"/>
    </w:rPr>
  </w:style>
  <w:style w:type="paragraph" w:customStyle="1" w:styleId="af">
    <w:name w:val="Комментари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70"/>
      <w:jc w:val="both"/>
    </w:pPr>
    <w:rPr>
      <w:rFonts w:ascii="Times New Roman" w:hAnsi="Times New Roman" w:cs="Arial"/>
      <w:i/>
      <w:iCs/>
      <w:color w:val="800080"/>
      <w:sz w:val="24"/>
      <w:szCs w:val="24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0295D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2">
    <w:name w:val="Колонтитул (левый)"/>
    <w:basedOn w:val="af1"/>
    <w:next w:val="a"/>
    <w:uiPriority w:val="99"/>
    <w:rsid w:val="00F0295D"/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Arial"/>
      <w:sz w:val="24"/>
      <w:szCs w:val="24"/>
    </w:rPr>
  </w:style>
  <w:style w:type="paragraph" w:customStyle="1" w:styleId="af4">
    <w:name w:val="Колонтитул (правый)"/>
    <w:basedOn w:val="af3"/>
    <w:next w:val="a"/>
    <w:uiPriority w:val="99"/>
    <w:rsid w:val="00F0295D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0295D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7">
    <w:name w:val="Моноширинны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8">
    <w:name w:val="Найденные слова"/>
    <w:basedOn w:val="a3"/>
    <w:uiPriority w:val="99"/>
    <w:rsid w:val="00F0295D"/>
  </w:style>
  <w:style w:type="character" w:customStyle="1" w:styleId="af9">
    <w:name w:val="Не вступил в силу"/>
    <w:basedOn w:val="a3"/>
    <w:uiPriority w:val="99"/>
    <w:rsid w:val="00F0295D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18"/>
      <w:jc w:val="both"/>
    </w:pPr>
    <w:rPr>
      <w:rFonts w:ascii="Times New Roman" w:hAnsi="Times New Roman" w:cs="Arial"/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c">
    <w:name w:val="Объект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d">
    <w:name w:val="Таблицы (моноширинный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e">
    <w:name w:val="Оглавление"/>
    <w:basedOn w:val="afd"/>
    <w:next w:val="a"/>
    <w:uiPriority w:val="99"/>
    <w:rsid w:val="00F0295D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0295D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0295D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0295D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paragraph" w:customStyle="1" w:styleId="aff3">
    <w:name w:val="Пример.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18" w:firstLine="602"/>
      <w:jc w:val="both"/>
    </w:pPr>
    <w:rPr>
      <w:rFonts w:ascii="Times New Roman" w:hAnsi="Times New Roman" w:cs="Arial"/>
      <w:sz w:val="24"/>
      <w:szCs w:val="24"/>
    </w:rPr>
  </w:style>
  <w:style w:type="paragraph" w:customStyle="1" w:styleId="aff4">
    <w:name w:val="Примечание."/>
    <w:basedOn w:val="af"/>
    <w:next w:val="a"/>
    <w:uiPriority w:val="99"/>
    <w:rsid w:val="00F0295D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0295D"/>
  </w:style>
  <w:style w:type="paragraph" w:customStyle="1" w:styleId="aff6">
    <w:name w:val="Словарная статья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Arial"/>
      <w:sz w:val="24"/>
      <w:szCs w:val="24"/>
    </w:rPr>
  </w:style>
  <w:style w:type="character" w:customStyle="1" w:styleId="aff7">
    <w:name w:val="Сравнение редакций"/>
    <w:basedOn w:val="a3"/>
    <w:uiPriority w:val="99"/>
    <w:rsid w:val="00F0295D"/>
  </w:style>
  <w:style w:type="character" w:customStyle="1" w:styleId="aff8">
    <w:name w:val="Сравнение редакций. Добавленный фрагмент"/>
    <w:uiPriority w:val="99"/>
    <w:rsid w:val="00F0295D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0295D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ind w:left="170" w:right="170"/>
      <w:jc w:val="both"/>
    </w:pPr>
    <w:rPr>
      <w:rFonts w:ascii="Times New Roman" w:hAnsi="Times New Roman" w:cs="Arial"/>
      <w:sz w:val="24"/>
      <w:szCs w:val="24"/>
    </w:rPr>
  </w:style>
  <w:style w:type="paragraph" w:customStyle="1" w:styleId="affb">
    <w:name w:val="Текст в таблице"/>
    <w:basedOn w:val="afb"/>
    <w:next w:val="a"/>
    <w:uiPriority w:val="99"/>
    <w:rsid w:val="00F0295D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0295D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d">
    <w:name w:val="Утратил силу"/>
    <w:basedOn w:val="a3"/>
    <w:uiPriority w:val="99"/>
    <w:rsid w:val="00F0295D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0295D"/>
    <w:pPr>
      <w:jc w:val="center"/>
    </w:pPr>
  </w:style>
  <w:style w:type="paragraph" w:styleId="afff">
    <w:name w:val="List Paragraph"/>
    <w:basedOn w:val="a"/>
    <w:uiPriority w:val="34"/>
    <w:qFormat/>
    <w:rsid w:val="00F0295D"/>
    <w:pPr>
      <w:widowControl w:val="0"/>
      <w:autoSpaceDE w:val="0"/>
      <w:autoSpaceDN w:val="0"/>
      <w:adjustRightInd w:val="0"/>
      <w:spacing w:after="0" w:line="360" w:lineRule="auto"/>
      <w:ind w:left="720"/>
      <w:contextualSpacing/>
      <w:jc w:val="both"/>
    </w:pPr>
    <w:rPr>
      <w:rFonts w:ascii="Times New Roman" w:hAnsi="Times New Roman" w:cs="Arial"/>
      <w:sz w:val="24"/>
      <w:szCs w:val="24"/>
    </w:rPr>
  </w:style>
  <w:style w:type="paragraph" w:styleId="afff0">
    <w:name w:val="header"/>
    <w:basedOn w:val="a"/>
    <w:link w:val="afff1"/>
    <w:uiPriority w:val="99"/>
    <w:unhideWhenUsed/>
    <w:rsid w:val="00F02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f1">
    <w:name w:val="Верхний колонтитул Знак"/>
    <w:basedOn w:val="a0"/>
    <w:link w:val="afff0"/>
    <w:uiPriority w:val="99"/>
    <w:rsid w:val="00F0295D"/>
    <w:rPr>
      <w:rFonts w:ascii="Times New Roman" w:hAnsi="Times New Roman" w:cs="Arial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F029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szCs w:val="24"/>
    </w:rPr>
  </w:style>
  <w:style w:type="character" w:customStyle="1" w:styleId="afff3">
    <w:name w:val="Нижний колонтитул Знак"/>
    <w:basedOn w:val="a0"/>
    <w:link w:val="afff2"/>
    <w:uiPriority w:val="99"/>
    <w:rsid w:val="00F0295D"/>
    <w:rPr>
      <w:rFonts w:ascii="Times New Roman" w:hAnsi="Times New Roman" w:cs="Arial"/>
      <w:sz w:val="24"/>
      <w:szCs w:val="24"/>
    </w:rPr>
  </w:style>
  <w:style w:type="paragraph" w:styleId="afff4">
    <w:name w:val="Balloon Text"/>
    <w:basedOn w:val="a"/>
    <w:link w:val="afff5"/>
    <w:uiPriority w:val="99"/>
    <w:semiHidden/>
    <w:unhideWhenUsed/>
    <w:rsid w:val="00F029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F029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a"/>
    <w:rsid w:val="00F0295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</w:rPr>
  </w:style>
  <w:style w:type="paragraph" w:customStyle="1" w:styleId="ConsPlusNormal">
    <w:name w:val="ConsPlusNormal"/>
    <w:next w:val="a"/>
    <w:rsid w:val="00F0295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bidi="ru-RU"/>
    </w:rPr>
  </w:style>
  <w:style w:type="character" w:customStyle="1" w:styleId="12">
    <w:name w:val="Гиперссылка1"/>
    <w:basedOn w:val="a0"/>
    <w:uiPriority w:val="99"/>
    <w:unhideWhenUsed/>
    <w:rsid w:val="00F0295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0295D"/>
    <w:pPr>
      <w:widowControl w:val="0"/>
      <w:autoSpaceDE w:val="0"/>
      <w:autoSpaceDN w:val="0"/>
      <w:adjustRightInd w:val="0"/>
      <w:spacing w:after="100" w:line="360" w:lineRule="auto"/>
      <w:jc w:val="both"/>
    </w:pPr>
    <w:rPr>
      <w:rFonts w:ascii="Times New Roman" w:hAnsi="Times New Roman" w:cs="Arial"/>
      <w:sz w:val="24"/>
      <w:szCs w:val="24"/>
    </w:rPr>
  </w:style>
  <w:style w:type="character" w:styleId="afff6">
    <w:name w:val="Hyperlink"/>
    <w:basedOn w:val="a0"/>
    <w:uiPriority w:val="99"/>
    <w:semiHidden/>
    <w:unhideWhenUsed/>
    <w:rsid w:val="00F02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21087.52" TargetMode="External"/><Relationship Id="rId18" Type="http://schemas.openxmlformats.org/officeDocument/2006/relationships/hyperlink" Target="garantF1://10064072.8671" TargetMode="External"/><Relationship Id="rId26" Type="http://schemas.openxmlformats.org/officeDocument/2006/relationships/hyperlink" Target="garantF1://12021087.57" TargetMode="External"/><Relationship Id="rId39" Type="http://schemas.openxmlformats.org/officeDocument/2006/relationships/hyperlink" Target="garantF1://12058817.1000" TargetMode="External"/><Relationship Id="rId21" Type="http://schemas.openxmlformats.org/officeDocument/2006/relationships/hyperlink" Target="garantF1://12021087.5502" TargetMode="External"/><Relationship Id="rId34" Type="http://schemas.openxmlformats.org/officeDocument/2006/relationships/hyperlink" Target="garantF1://12022082.4000" TargetMode="External"/><Relationship Id="rId42" Type="http://schemas.openxmlformats.org/officeDocument/2006/relationships/hyperlink" Target="garantF1://79139.0" TargetMode="External"/><Relationship Id="rId47" Type="http://schemas.openxmlformats.org/officeDocument/2006/relationships/hyperlink" Target="garantF1://10800200.0" TargetMode="External"/><Relationship Id="rId50" Type="http://schemas.openxmlformats.org/officeDocument/2006/relationships/hyperlink" Target="garantF1://12012848.72" TargetMode="External"/><Relationship Id="rId55" Type="http://schemas.openxmlformats.org/officeDocument/2006/relationships/hyperlink" Target="garantF1://12021087.26" TargetMode="External"/><Relationship Id="rId63" Type="http://schemas.openxmlformats.org/officeDocument/2006/relationships/hyperlink" Target="garantF1://12013060.2400" TargetMode="External"/><Relationship Id="rId7" Type="http://schemas.openxmlformats.org/officeDocument/2006/relationships/hyperlink" Target="garantF1://10800200.11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1087.55" TargetMode="External"/><Relationship Id="rId20" Type="http://schemas.openxmlformats.org/officeDocument/2006/relationships/hyperlink" Target="garantF1://12021087.5502" TargetMode="External"/><Relationship Id="rId29" Type="http://schemas.openxmlformats.org/officeDocument/2006/relationships/hyperlink" Target="garantF1://12021087.57" TargetMode="External"/><Relationship Id="rId41" Type="http://schemas.openxmlformats.org/officeDocument/2006/relationships/hyperlink" Target="garantF1://79139.0" TargetMode="External"/><Relationship Id="rId54" Type="http://schemas.openxmlformats.org/officeDocument/2006/relationships/hyperlink" Target="garantF1://12021087.25" TargetMode="External"/><Relationship Id="rId62" Type="http://schemas.openxmlformats.org/officeDocument/2006/relationships/hyperlink" Target="garantF1://10800200.266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64072.862" TargetMode="External"/><Relationship Id="rId11" Type="http://schemas.openxmlformats.org/officeDocument/2006/relationships/hyperlink" Target="garantF1://12021087.52" TargetMode="External"/><Relationship Id="rId24" Type="http://schemas.openxmlformats.org/officeDocument/2006/relationships/hyperlink" Target="garantF1://12021087.55" TargetMode="External"/><Relationship Id="rId32" Type="http://schemas.openxmlformats.org/officeDocument/2006/relationships/hyperlink" Target="garantF1://12022082.2000" TargetMode="External"/><Relationship Id="rId37" Type="http://schemas.openxmlformats.org/officeDocument/2006/relationships/hyperlink" Target="garantF1://12022082.7000" TargetMode="External"/><Relationship Id="rId40" Type="http://schemas.openxmlformats.org/officeDocument/2006/relationships/hyperlink" Target="garantF1://12058817.2000" TargetMode="External"/><Relationship Id="rId45" Type="http://schemas.openxmlformats.org/officeDocument/2006/relationships/hyperlink" Target="garantF1://10800200.0" TargetMode="External"/><Relationship Id="rId53" Type="http://schemas.openxmlformats.org/officeDocument/2006/relationships/hyperlink" Target="garantF1://12021087.23" TargetMode="External"/><Relationship Id="rId58" Type="http://schemas.openxmlformats.org/officeDocument/2006/relationships/hyperlink" Target="garantF1://12021087.96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21087.55" TargetMode="External"/><Relationship Id="rId23" Type="http://schemas.openxmlformats.org/officeDocument/2006/relationships/hyperlink" Target="garantF1://12021087.5503" TargetMode="External"/><Relationship Id="rId28" Type="http://schemas.openxmlformats.org/officeDocument/2006/relationships/hyperlink" Target="garantF1://12021087.57" TargetMode="External"/><Relationship Id="rId36" Type="http://schemas.openxmlformats.org/officeDocument/2006/relationships/hyperlink" Target="garantF1://12022082.6000" TargetMode="External"/><Relationship Id="rId49" Type="http://schemas.openxmlformats.org/officeDocument/2006/relationships/hyperlink" Target="garantF1://12021087.96" TargetMode="External"/><Relationship Id="rId57" Type="http://schemas.openxmlformats.org/officeDocument/2006/relationships/hyperlink" Target="garantF1://12021087.96" TargetMode="External"/><Relationship Id="rId61" Type="http://schemas.openxmlformats.org/officeDocument/2006/relationships/hyperlink" Target="garantF1://12021087.9101" TargetMode="External"/><Relationship Id="rId10" Type="http://schemas.openxmlformats.org/officeDocument/2006/relationships/hyperlink" Target="garantF1://12021087.52" TargetMode="External"/><Relationship Id="rId19" Type="http://schemas.openxmlformats.org/officeDocument/2006/relationships/hyperlink" Target="garantF1://12021087.5501" TargetMode="External"/><Relationship Id="rId31" Type="http://schemas.openxmlformats.org/officeDocument/2006/relationships/hyperlink" Target="garantF1://12022082.1000" TargetMode="External"/><Relationship Id="rId44" Type="http://schemas.openxmlformats.org/officeDocument/2006/relationships/hyperlink" Target="garantF1://12021087.1006" TargetMode="External"/><Relationship Id="rId52" Type="http://schemas.openxmlformats.org/officeDocument/2006/relationships/hyperlink" Target="garantF1://12021087.20" TargetMode="External"/><Relationship Id="rId60" Type="http://schemas.openxmlformats.org/officeDocument/2006/relationships/hyperlink" Target="garantF1://12021087.96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12021087.51" TargetMode="External"/><Relationship Id="rId14" Type="http://schemas.openxmlformats.org/officeDocument/2006/relationships/hyperlink" Target="garantF1://12021087.52" TargetMode="External"/><Relationship Id="rId22" Type="http://schemas.openxmlformats.org/officeDocument/2006/relationships/hyperlink" Target="garantF1://12021087.5503" TargetMode="External"/><Relationship Id="rId27" Type="http://schemas.openxmlformats.org/officeDocument/2006/relationships/hyperlink" Target="garantF1://12021087.57" TargetMode="External"/><Relationship Id="rId30" Type="http://schemas.openxmlformats.org/officeDocument/2006/relationships/hyperlink" Target="garantF1://12022082.0" TargetMode="External"/><Relationship Id="rId35" Type="http://schemas.openxmlformats.org/officeDocument/2006/relationships/hyperlink" Target="garantF1://12022082.5000" TargetMode="External"/><Relationship Id="rId43" Type="http://schemas.openxmlformats.org/officeDocument/2006/relationships/hyperlink" Target="garantF1://12021087.1006" TargetMode="External"/><Relationship Id="rId48" Type="http://schemas.openxmlformats.org/officeDocument/2006/relationships/hyperlink" Target="garantF1://12021087.96" TargetMode="External"/><Relationship Id="rId56" Type="http://schemas.openxmlformats.org/officeDocument/2006/relationships/hyperlink" Target="garantF1://12021087.44" TargetMode="External"/><Relationship Id="rId64" Type="http://schemas.openxmlformats.org/officeDocument/2006/relationships/fontTable" Target="fontTable.xml"/><Relationship Id="rId8" Type="http://schemas.openxmlformats.org/officeDocument/2006/relationships/hyperlink" Target="garantF1://12021087.51" TargetMode="External"/><Relationship Id="rId51" Type="http://schemas.openxmlformats.org/officeDocument/2006/relationships/hyperlink" Target="garantF1://12068559.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garantF1://12021087.52" TargetMode="External"/><Relationship Id="rId17" Type="http://schemas.openxmlformats.org/officeDocument/2006/relationships/hyperlink" Target="garantF1://12021087.5501" TargetMode="External"/><Relationship Id="rId25" Type="http://schemas.openxmlformats.org/officeDocument/2006/relationships/hyperlink" Target="garantF1://12021087.55" TargetMode="External"/><Relationship Id="rId33" Type="http://schemas.openxmlformats.org/officeDocument/2006/relationships/hyperlink" Target="garantF1://12022082.3000" TargetMode="External"/><Relationship Id="rId38" Type="http://schemas.openxmlformats.org/officeDocument/2006/relationships/hyperlink" Target="garantF1://12058817.0" TargetMode="External"/><Relationship Id="rId46" Type="http://schemas.openxmlformats.org/officeDocument/2006/relationships/hyperlink" Target="garantF1://10800200.0" TargetMode="External"/><Relationship Id="rId59" Type="http://schemas.openxmlformats.org/officeDocument/2006/relationships/hyperlink" Target="garantF1://12021087.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3238</Words>
  <Characters>18462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3</cp:revision>
  <dcterms:created xsi:type="dcterms:W3CDTF">2016-03-21T06:49:00Z</dcterms:created>
  <dcterms:modified xsi:type="dcterms:W3CDTF">2020-04-01T14:49:00Z</dcterms:modified>
</cp:coreProperties>
</file>