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4"/>
        </w:rPr>
      </w:pPr>
      <w:bookmarkStart w:id="0" w:name="sub_5600"/>
      <w:bookmarkStart w:id="1" w:name="_Toc354555076"/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>Инвентаризация денежных средств, денежных документов и бланков строгой отчетности</w:t>
      </w:r>
      <w:bookmarkEnd w:id="1"/>
    </w:p>
    <w:bookmarkEnd w:id="0"/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18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Денежные средства организации могут быть представлены наличными деньгами в кассе организации, денежными средствами на расчетных счетах предприятия, аккредитивами, чековыми книжками и т.д.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ходе проведения инвентаризации денежных средств, денежных документов и бланков строгой отчетности инвентаризационной комиссии необходимо: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проверить и подтвердить путем пересчета фактическое наличие денежных знаков в организации;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проверить фактическое наличие денежных документов;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проверить фактическое наличие бланков документов строгой отчетности.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ходе проведения налоговой инвентаризации денежных средств, денежных документов и бланков строгой отчетности сотрудниками инспекции производиться подсчет фактического наличия денежных знаков и других ценностей, находящихся в кассе. Проверка фактического наличия бланков ценных бумаг, а также прочих бланков документов строгой отчетности производится по видам бланков, а также по каждому месту хранения и ответственным лицам. Если имеет место наличие денежных средств в пути, их инвентаризация должна осуществляться путем сверки числящихся сумм на счетах бухгалтерского учета с данными квитанциями учреждений банка, копий сопроводительных ведомостей на сдачу выручки инкассаторам банка и т.д. При проведении проверки денежных средств предприятия, находящихся на расчетных счетах в банках, в независимости от того является ли они текущими, специальными или же валютными проводится сверка остатков сумм, числящихся на соответствующих счетах бухгалтерского учета и данных выписок банков на конкретную дату.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4"/>
        </w:rPr>
      </w:pPr>
      <w:bookmarkStart w:id="2" w:name="_Toc354555077"/>
      <w:bookmarkStart w:id="3" w:name="sub_5610"/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>1 Инвентаризация кассы</w:t>
      </w:r>
      <w:bookmarkEnd w:id="2"/>
    </w:p>
    <w:bookmarkEnd w:id="3"/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18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инвентаризации, в первую очередь рекомендуется проводить инвентаризацию кассы, в целях обеспечения фактора внезапности.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Инвентаризация кассы обязательна в случаях смене материально ответственного лица - кассира, в случаях выявления недостач, обнаружения фактов хищения и перед составлением годового отчета. Во всех остальных случаях инвентаризация проводится в соответствии с учетной политикой на основании приказа руководителя предприятия.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Главной задачей проведения инвентаризации кассы является проверка соблюдения правил хранения наличных денежных средств в кассе организации, а также соблюдение требований, предъявляемых к первичной документации, соответствие остатка по кассовой книги на текущую дату фактическому.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наличии денежных средств в организации в бухгалтерском учете используют </w:t>
      </w:r>
      <w:hyperlink r:id="rId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К данному счету могут быть открыты следующие субсчета:</w:t>
      </w:r>
    </w:p>
    <w:p w:rsidR="00F0295D" w:rsidRPr="00F0295D" w:rsidRDefault="008A03C9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7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50-1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«Касса организации» - используется для учета денежных средств в кассе организации. Если в организации имеют место кассовые операции с использованием иностранной валюты, должны быть открыты соответствующие субсчета для раздельного учета каждой наличной иностранной валюты;</w:t>
      </w:r>
    </w:p>
    <w:p w:rsidR="00F0295D" w:rsidRPr="00F0295D" w:rsidRDefault="008A03C9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8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50-2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«Операционная касса» - используется для учета наличия и движения денежных средств товарных контор, эксплуатационных участков, остановочных переправ, билетных и багажных касс портов, вокзалов и т.д.;</w:t>
      </w:r>
    </w:p>
    <w:p w:rsidR="00F0295D" w:rsidRPr="00F0295D" w:rsidRDefault="008A03C9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9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50-3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. «Денежные документы» - используется организациями для учета находящихся в кассе организации почтовых марок, марок государственных пошлин, вексельных марок и т.д.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При проведении пересчета денежных знаков в кассе организации следует помнить, что законным платежным средством, обязательным к приему по нарицательной стоимости на территории Российской Федерации в соответствии с </w:t>
      </w:r>
      <w:hyperlink r:id="rId10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Гражданским кодексом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является рубль. Если в кассе организации присутствует иностранная валюту, необходимо провести ее пересчет в рубли по </w:t>
      </w:r>
      <w:hyperlink r:id="rId11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курсу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на момент проведения инвентаризации по каждому из видов валюты. Полученные в ходе пересчета данные заносятся в опись по отдельным вида валюты, например евро или доллары США.</w:t>
      </w:r>
    </w:p>
    <w:p w:rsidR="00F0295D" w:rsidRPr="00F0295D" w:rsidRDefault="008A03C9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12" w:history="1">
        <w:proofErr w:type="spellStart"/>
        <w:r w:rsidR="00F0295D"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Порядок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ведения</w:t>
      </w:r>
      <w:proofErr w:type="spellEnd"/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кассовых операций, а также порядок хранения и расходования денежных средств регламентируется в настоящее время Положением о порядке ведения кассовых операций с банкнотами и монетой Банка России на территории Российской Федерации в Российской Федерации от 12 октября 2011 г. № 373-П.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Согласно данному </w:t>
      </w:r>
      <w:hyperlink r:id="rId13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Порядку</w:t>
        </w:r>
      </w:hyperlink>
      <w:r w:rsidRPr="00F0295D">
        <w:rPr>
          <w:rFonts w:ascii="Times New Roman" w:eastAsia="Times New Roman" w:hAnsi="Times New Roman" w:cs="Arial"/>
          <w:b/>
          <w:sz w:val="28"/>
          <w:szCs w:val="24"/>
        </w:rPr>
        <w:t>,</w:t>
      </w:r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независимо от форм собственности предприятия, объединения, организации и учреждения обязаны хранить свободные денежные средства в специализированных учреждениях банков (банках).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Как правило, расчеты по своим обязательствам с другими организациями производится предприятием в безналичном порядке через банки, или применяя иные другие формы расчетов, не противоречащие действующему законодательству Российской Федерации.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Для осуществления расчетов наличными денежными средствами каждое предприятие должно иметь кассу и вести кассовую книгу по установленной форме.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Наличные деньги, полученные предприятиями в банках, могут расходоваться только на цели, указанные в чеке, например, на выплату заработной платы сотрудникам, или на выдачу денежных средств под авансовый отчет сотруднику организации.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По согласованию с обслуживающим банком предприятия могут иметь в своих кассах наличные деньги в пределах установленных лимитов. В случае возникновения необходимости установленные банком лимиты могут пересматриваться.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Всю денежную наличность сверх установленных лимитов организации обязаны сдавать в банк в соответствии с согласованными с обслуживающими банками сроки. Следует помнить, что все наличные деньги могут быть сданы в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дневные и вечерние кассы банков, инкассаторам и в объединенные кассы при предприятиях для последующей сдачи в банк, а также предприятиям связи для перечисления на счета в банках на основе заключенных договоров.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том, случае если организация имеет постоянную денежную выручку, по согласованию с обслуживающими их банками данная выручка может расходоваться на следующие цели: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на оплату труда и выплату социально-трудовых льгот;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на закупку сельскохозяйственной продукции;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на скупку тары и вещей у населения.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Организации не имеют права накапливать в своих кассах наличные денежные средства, сверх установленных лимитов для осуществления предстоящих расходов, в том числе и на оплату труда. Данное превышение допускается на срок не более 3-х дней - для денежных средств, предназначенных для выплаты заработной платы персоналу организации.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Выдача наличных денег под отчет производится из касс предприятий. Предприятия могут осуществлять выдачу наличных деньги под отчет на такие цели как: хозяйственно-операционные расходы, расходы экспедиций, геологоразведочных партий, уполномоченных предприятий и организаций, отдельных подразделений хозяйственных организаций, в том числе филиалов, не состоящих на самостоятельном балансе и находящихся вне района деятельности организаций в размерах и на сроки, определяемые руководителями предприятий.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Выдача наличных денег под отчет на расходы, связанные со служебными командировками, производится в пределах сумм, причитающихся лицам на эти цели.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Все лица получившие наличные деньги под отчет, обязаны в срок, не позднее 3 рабочих дней по истечении срока, на который были выданы подотчетные суммы, или же со дня их возвращения из командировки предъявить в бухгалтерию предприятия отчет об израсходованных суммах и произвести окончательный расчет по ним. Следует помнить, что в дальнейшем,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выдача наличных денег под отчет может производится только при условии полного отчета конкретного подотчетного лица по ранее выданному ему авансу.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Передача выданных под отчет наличных денег одним лицом другому запрещается.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Перед проведением инвентаризации материально-ответственное лицо предоставляет расписку о сдаче всех расходных и приходных документов и о списании и </w:t>
      </w:r>
      <w:proofErr w:type="spellStart"/>
      <w:r w:rsidRPr="00F0295D">
        <w:rPr>
          <w:rFonts w:ascii="Times New Roman" w:eastAsia="Times New Roman" w:hAnsi="Times New Roman" w:cs="Arial"/>
          <w:sz w:val="28"/>
          <w:szCs w:val="24"/>
        </w:rPr>
        <w:t>оприходования</w:t>
      </w:r>
      <w:proofErr w:type="spellEnd"/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всех денежных средств поступивших под его ответственность.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инвентаризации денежных средств в кассе организации следует обратить внимание на оформление первичных документов по поступлению и расходованию денежных средств (приходные и расходные кассовые ордера), каждый из которых должен быть зарегистрирован в журнале регистрации, на ведение кассовой книги.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Следует помнить при проведении инвентаризации, что к заполнению всех приходных и расходных ордеров, квитанции применяются очень жесткие требования - исправления, помарки, подчистки - не допускаются.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Осуществление приема наличных денежных средств в кассу организации, производится в соответствии с приходным кассовым ордерам, подписанным главным бухгалтером или лицом, на это уполномоченным письменным распоряжением руководителя. На все поступившие в кассу организации денежные средства оформляются приходные кассовые ордера по </w:t>
      </w:r>
      <w:hyperlink r:id="rId14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форме КО-1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, отрывная часть которого заверяется печатью организации и выдается внесшему денежные средства лицу. Денежные средства могут поступать в кассу организации в результате снятия с расчетного счета в банке, от покупателей, от учредителей, в качестве вклада в уставный капитал, в результате возврата из неиспользованных подотчетных средств, в качестве возврата займов, возмещения ущерба сотрудниками организации, и т.д. Кассиром организации при осуществлении операции по приему денежных средств в кассу организации к приходному кассовому ордеру о приеме денег выдается квитанция за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подписями главного бухгалтера или иного лица, на это уполномоченного.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случае осуществления операций по приему денежных билетов и монет в счет платежей кассирам организации необходимо руководствоваться установленными Центральным банком Российской Федерации признаками и правилами определения платежности банковских билетов (банкнот) и монет Банка России.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бухгалтерском учете делаются следующие проводки: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1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 Кредит </w:t>
      </w:r>
      <w:hyperlink r:id="rId1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«Расчетные счета»» - поступили в кассу денежные средства с расчетного счета;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17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Кредит </w:t>
      </w:r>
      <w:hyperlink r:id="rId1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62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«Расчеты с покупателями и заказчиками» - поступили в кассу денежные средства от покупателей за отгруженные товары, оказанные услуги;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1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 Кредит </w:t>
      </w:r>
      <w:hyperlink r:id="rId20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«Расчеты с подотчетными лицами» - поступили в кассу неизрасходованные денежные средства;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2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Кредит </w:t>
      </w:r>
      <w:hyperlink r:id="rId22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73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«Расчеты с персоналом по прочим операциям» - поступления от сотрудников организации;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23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 Кредит </w:t>
      </w:r>
      <w:hyperlink r:id="rId2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«Расчеты с учредителями» - поступление от учредителей в качестве вклада в уставный капитал организации;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2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 Кредит </w:t>
      </w:r>
      <w:hyperlink r:id="rId2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«Прочие доходы и расходы»,  субсчет «Прочие доходы» - поступила выручка от прочих доходов.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Операции по выдаче наличных денег из кассы предприятий оформляются расходным кассовым ордерам по </w:t>
      </w:r>
      <w:hyperlink r:id="rId27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форме КО-2</w:t>
        </w:r>
      </w:hyperlink>
      <w:r w:rsidRPr="00F0295D">
        <w:rPr>
          <w:rFonts w:ascii="Times New Roman" w:eastAsia="Times New Roman" w:hAnsi="Times New Roman" w:cs="Arial"/>
          <w:b/>
          <w:sz w:val="28"/>
          <w:szCs w:val="24"/>
        </w:rPr>
        <w:t>,</w:t>
      </w:r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в соответствии с надлежаще оформленным документам такими, как платежные ведомости, заявлениям на выдачу денег, счетами и др., с наложением на этих документах штампа с реквизитами расходного кассового ордера.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Выдача наличных денежных средств из кассы, как правило производится в следующих случаях: выдача заработной платы (и иных платежей отпускные, премии и т.д.) работникам организации, выдача денежных средств под отчет, сдача наличных в банк, оплата поставщикам, выплаты учредителям. Документы на выдачу денег подписываются руководителем организации и главным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бухгалтером предприятия, а также иными другими лицами, на это уполномоченными. В случаях, когда на документах прилагаемых к расходным кассовым ордерам, таких как, заявления или счета имеется разрешительная надпись руководителя предприятий, его подпись на расходных кассовых ордерах в этом случае не является обязательной.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бухгалтерском учете организации при осуществлении операций по выдаче наличных денежных средств делаются следующие проводки: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2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«Расчетные счета» -  Кредит </w:t>
      </w:r>
      <w:hyperlink r:id="rId2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денежные средства из кассы внесены на расчетный счет;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30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60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«Расчеты с поставщиками и подрядчиками - Кредит </w:t>
      </w:r>
      <w:hyperlink r:id="rId3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произведена оплата наличными денежными средствами поставщику за поставленные товарно-материальные ценности, оказанные услуги;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32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«Расчеты с персоналом по оплате труда» - Кредит </w:t>
      </w:r>
      <w:hyperlink r:id="rId33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выплачена из кассы заработная плата сотрудникам организации;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3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«Расчеты с подотчетными лицами» - Кредит </w:t>
      </w:r>
      <w:hyperlink r:id="rId3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выдано на хозяйственные расходы под отчет сотруднику;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3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«Расчеты с учредителями» - Кредит </w:t>
      </w:r>
      <w:hyperlink r:id="rId37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выдача учредителям дивидендов.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наличии централизованной бухгалтерской службы на общую сумму выданной заработной платы работникам предприятия оставляется один расходный кассовый ордер, дата и номер которого проставляются на каждой платежной ведомости.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операции по выдаче наличных денежных средств отдельному лицу кассир требует предъявления документа, удостоверяющего личность, такого, например, как паспорт сотрудника. При этом в расходном кассовом ордере кассиру следует указать наименование и номер документа предъявленного сотрудником, также, кем и когда данный документ был выдан.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том случае, когда документ, заменяющий расходный кассовый ордер составлен на выдачу денег нескольким лицам, то получателями денежных средств также предъявляют указанные документы, удостоверяющие их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личность, и расписываются в соответствующей графе платежных документов. Однако в таком случае, запись о данных документах удостоверяющего личность, на денежном документе, заменяющем кассовый расходный ордер, может не производиться.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Расписка в получении денежных средств может быть сделана получателем только собственноручно чернилами или шариковой ручкой с указанием полученной суммы: рублей - прописью, копеек - цифрами. При получении денег по платежной (расчетно-платежной) ведомости сумма прописью не указывается.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Следует помнить, что в том случае, когда осуществляется операция по выдаче денежных средств лицу, не состоящему в списочном составе предприятия, расходные кассовые ордера выписываются кассиром организации, или же лицом, на которого в соответствии с приказом руководителя организации возложена данная обязанность, на каждое лицо или по отдельной ведомости.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Выдача денежных средств кассиром предприятия может производится только лицу, указанному в расходном ордере или замещающем его документе. В том случае, если выдача денежных средств производится по доверенности, оформленной в установленном действующем законодательстве порядке, в тексте ордера после фамилии, имени и отчества получателя денег бухгалтерией указывается фамилия, имя и отчество лица, которому доверено получение денег. В том случае, когда выдача денег производится по ведомости, перед распиской в получении денег кассир делает надпись: «По доверенности».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Доверенность остается в документах дня в качестве приложения к расходному кассовому ордеру или ведомости.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После истечения установленных, действующем законодательством сроков оплаты труда, выплаты пособий по социальному страхованию и стипендий кассиру организации необходимо выполнить следующие действия: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- во-первых, в платежной или расчетно-платежной ведомости напротив фамилии лиц, которым не были произведены выплаты начисленных сумм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заработной платы или пособий по социальному страхованию и стипендий, необходимо поставить штамп или сделать отметку от руки: «Депонировано»;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- во-вторых, необходимо составить реестр депонированных </w:t>
      </w:r>
      <w:proofErr w:type="spellStart"/>
      <w:r w:rsidRPr="00F0295D">
        <w:rPr>
          <w:rFonts w:ascii="Times New Roman" w:eastAsia="Times New Roman" w:hAnsi="Times New Roman" w:cs="Arial"/>
          <w:sz w:val="28"/>
          <w:szCs w:val="24"/>
        </w:rPr>
        <w:t>сумм;в</w:t>
      </w:r>
      <w:proofErr w:type="spellEnd"/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конце платежной ведомости кассиру организации, производившему выплаты, необходимо сделать надпись о фактически выплаченной им сумме денежных средств, данную сумму необходимо сверить с общим итогом по платежной ведомости и скрепить надпись подписью кассира;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в третьих, в кассовой книге делается запись о фактически выплаченной сумме денежных средств и на платежной ведомости ставится штамп: «Расходный кассовый ордер № ____».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После чего, бухгалтерской службой предприятия производится проверка отметок, сделанных кассирами в платежных ведомостях, и производится подсчет выданных и депонированных по ним сумм.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Депонированные суммы подлежат сдаче в банк, на сданные суммы денежных средств составляется один общий расходный кассовый ордер.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инвентаризации кассы необходимо проверить правильность ведения и заполнения кассовой книгой.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условиях автоматизированного ведения кассовой книги при проведении инвентаризации кассы необходимо произвести проверку правильности работы программных средств обработки кассовых документов.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Как правило, кассовая книга предприятия ведется кассиром. Каждый лист кассовой книги состоит из 2-х одинаковых частей (кассир заполняет только первую часть, вторая заполняется через копировальную бумагу). Второй экземпляр является отчетом кассира, именно к нему в конце рабочего дня подшиваются все приходные и расходные кассовые ордера, а также подтверждающие документы. На сегодняшний момент в большинстве организаций кассовая книга, также как и бухгалтерский учет ведется автоматизировано.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При проведении инвентаризации кассы организации рекомендуется применять </w:t>
      </w:r>
      <w:r w:rsidRPr="00F0295D">
        <w:rPr>
          <w:rFonts w:ascii="Times New Roman" w:eastAsia="Times New Roman" w:hAnsi="Times New Roman" w:cs="Arial"/>
          <w:b/>
          <w:sz w:val="28"/>
          <w:szCs w:val="24"/>
        </w:rPr>
        <w:t>метод взаимного контроля</w:t>
      </w:r>
      <w:r w:rsidRPr="00F0295D">
        <w:rPr>
          <w:rFonts w:ascii="Times New Roman" w:eastAsia="Times New Roman" w:hAnsi="Times New Roman" w:cs="Arial"/>
          <w:sz w:val="28"/>
          <w:szCs w:val="24"/>
        </w:rPr>
        <w:t xml:space="preserve">. Метод взаимного контроля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заключается в том, например, что при проведении проверки денежных средств в кассу организации с расчетного счета проверяются не только данные по </w:t>
      </w:r>
      <w:hyperlink r:id="rId3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«Касса», но и по </w:t>
      </w:r>
      <w:hyperlink r:id="rId3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«Расчетный счет».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Следует помнить, что за исключением индивидуальных предпринимателей, занимающихся розничной торговлей и уплачивающих единый налог на вмененный доход, во всех остальных случаях прием денежных средств, в качестве выручки может осуществляться с применением кассового аппарата. При приеме денежных средств от покупателей кассиров пробивается кассовый чек, а по итогам рабочего дня с кассового аппарата снимается Z отчет, показывающий общую сумму выручки за день.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По результатам проведенной инвентаризации составляется Акт инвентаризации денежных средств по </w:t>
      </w:r>
      <w:hyperlink r:id="rId40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форме ИНВ-15</w:t>
        </w:r>
      </w:hyperlink>
      <w:r w:rsidRPr="00F0295D">
        <w:rPr>
          <w:rFonts w:ascii="Times New Roman" w:eastAsia="Times New Roman" w:hAnsi="Times New Roman" w:cs="Arial"/>
          <w:bCs/>
          <w:sz w:val="28"/>
          <w:szCs w:val="24"/>
        </w:rPr>
        <w:t>(Приложение В)</w:t>
      </w:r>
      <w:r w:rsidRPr="00F0295D">
        <w:rPr>
          <w:rFonts w:ascii="Times New Roman" w:eastAsia="Times New Roman" w:hAnsi="Times New Roman" w:cs="Arial"/>
          <w:b/>
          <w:sz w:val="28"/>
          <w:szCs w:val="24"/>
        </w:rPr>
        <w:t>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результате проведенной инвентаризации может быть выявлен как излишек, так и недостаток, в бухгалтерском учете делаются следующие проводки: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4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«Касса» - Кредит </w:t>
      </w:r>
      <w:hyperlink r:id="rId42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«Прочие доходы и расходы»,  субсчет «Прочие расходы» - в ходе проведенной инвентаризации кассы выявлен излишек денежных средств;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43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94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«Недостачи и потери от порчи ценностей» - Кредит </w:t>
      </w:r>
      <w:hyperlink r:id="rId4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«Касса» - в ходе проведенной инвентаризации выявлена недостача денежных средств в кассе организации;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4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73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«Расчеты с персоналом по прочим операциям» - Кредит </w:t>
      </w:r>
      <w:hyperlink r:id="rId4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94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«Недостачи и потери от порчи ценностей» - выявленная в кассе недостача денежных средств отнесена на материально-ответственное лицо - кассира организации.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Ответственность за соблюдение </w:t>
      </w:r>
      <w:hyperlink r:id="rId47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Порядка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ведения кассовых операций возлагается на руководителей предприятий, главных бухгалтеров и кассиров. Лица, виновные в неоднократном нарушении кассовой дисциплины, привлекаются к ответственности в соответствии с законодательством Российской Федерации. Так согласно </w:t>
      </w:r>
      <w:hyperlink r:id="rId48" w:history="1">
        <w:proofErr w:type="spellStart"/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КоАП</w:t>
        </w:r>
        <w:proofErr w:type="spellEnd"/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за нарушение порядка работы с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денежной наличностью и ведения кассовых операций предусмотрена административная ответственность - наложение административного штрафа на должностных лиц в размере от четырех тысяч до пяти тысяч рублей; на юридических лиц - от сорока тысяч до пятидесяти тысяч рублей.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Помимо проведения инвентаризации кассы, в целях обеспечения контроля за сохранностью денежных средств по решению руководителя предприятия, или же по требованию налогового органа в организации могут проводиться внезапные ревизии кассы Ревизия кассы проводится членами специальной комиссии, утверждаемой приказом руководителя предприятия. В том случае, если инициатором проведения такой ревизии является налоговой орган, в состав комиссии включают ее сотрудника - проверяющего.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Систематические проверки соблюдения предприятиями порядка требований Порядка ведения кассовых операций может осуществляться обслуживающими организацию банками. При этом все предложения и рекомендации по устранению выявленных в ходе проверок кассовой дисциплины недостатков, а также причин и условий, способствующих совершению хищений и злоупотреблений, обязательны к выполнению предприятиям.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ревизии кассы, также как и проведении инвентаризации могут быть выявлены как излишки денежных средств, так и их недостача. В бухгалтерском учете делаются соответствующие проводки.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0295D" w:rsidRDefault="00F0295D"/>
    <w:sectPr w:rsidR="00F0295D" w:rsidSect="00F0295D"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51" w:rsidRDefault="00A30051" w:rsidP="00820BEF">
      <w:pPr>
        <w:spacing w:after="0" w:line="240" w:lineRule="auto"/>
      </w:pPr>
      <w:r>
        <w:separator/>
      </w:r>
    </w:p>
  </w:endnote>
  <w:endnote w:type="continuationSeparator" w:id="1">
    <w:p w:rsidR="00A30051" w:rsidRDefault="00A30051" w:rsidP="008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51" w:rsidRDefault="00A30051" w:rsidP="00820BEF">
      <w:pPr>
        <w:spacing w:after="0" w:line="240" w:lineRule="auto"/>
      </w:pPr>
      <w:r>
        <w:separator/>
      </w:r>
    </w:p>
  </w:footnote>
  <w:footnote w:type="continuationSeparator" w:id="1">
    <w:p w:rsidR="00A30051" w:rsidRDefault="00A30051" w:rsidP="00820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5D"/>
    <w:rsid w:val="00820BEF"/>
    <w:rsid w:val="008A03C9"/>
    <w:rsid w:val="00A30051"/>
    <w:rsid w:val="00C8343D"/>
    <w:rsid w:val="00F0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7" type="connector" idref="#Прямая со стрелкой 31"/>
        <o:r id="V:Rule18" type="connector" idref="#Прямая со стрелкой 28"/>
        <o:r id="V:Rule19" type="connector" idref="#Прямая со стрелкой 30"/>
        <o:r id="V:Rule20" type="connector" idref="#Прямая со стрелкой 27"/>
        <o:r id="V:Rule21" type="connector" idref="#Прямая со стрелкой 6"/>
        <o:r id="V:Rule22" type="connector" idref="#Прямая со стрелкой 10"/>
        <o:r id="V:Rule23" type="connector" idref="#Прямая со стрелкой 29"/>
        <o:r id="V:Rule24" type="connector" idref="#Прямая со стрелкой 12"/>
        <o:r id="V:Rule25" type="connector" idref="#Прямая со стрелкой 11"/>
        <o:r id="V:Rule26" type="connector" idref="#Прямая со стрелкой 13"/>
        <o:r id="V:Rule27" type="connector" idref="#Прямая со стрелкой 14"/>
        <o:r id="V:Rule28" type="connector" idref="#Прямая со стрелкой 25"/>
        <o:r id="V:Rule29" type="connector" idref="#Прямая со стрелкой 4"/>
        <o:r id="V:Rule30" type="connector" idref="#Прямая со стрелкой 24"/>
        <o:r id="V:Rule31" type="connector" idref="#Прямая со стрелкой 15"/>
        <o:r id="V:Rule3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9"/>
  </w:style>
  <w:style w:type="paragraph" w:styleId="1">
    <w:name w:val="heading 1"/>
    <w:basedOn w:val="a"/>
    <w:next w:val="a"/>
    <w:link w:val="10"/>
    <w:uiPriority w:val="99"/>
    <w:qFormat/>
    <w:rsid w:val="00F029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hAnsi="Times New Roman" w:cs="Arial"/>
      <w:b/>
      <w:bCs/>
      <w:sz w:val="28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0295D"/>
    <w:pPr>
      <w:outlineLvl w:val="1"/>
    </w:pPr>
    <w:rPr>
      <w:b w:val="0"/>
      <w:bCs w:val="0"/>
    </w:rPr>
  </w:style>
  <w:style w:type="paragraph" w:styleId="3">
    <w:name w:val="heading 3"/>
    <w:basedOn w:val="2"/>
    <w:next w:val="a"/>
    <w:link w:val="30"/>
    <w:uiPriority w:val="99"/>
    <w:qFormat/>
    <w:rsid w:val="00F029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9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95D"/>
    <w:rPr>
      <w:rFonts w:ascii="Times New Roman" w:hAnsi="Times New Roman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0295D"/>
    <w:rPr>
      <w:rFonts w:ascii="Times New Roman" w:hAnsi="Times New Roman" w:cs="Arial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F0295D"/>
    <w:rPr>
      <w:rFonts w:ascii="Times New Roman" w:hAnsi="Times New Roman" w:cs="Arial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F0295D"/>
    <w:rPr>
      <w:rFonts w:ascii="Times New Roman" w:hAnsi="Times New Roman" w:cs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295D"/>
  </w:style>
  <w:style w:type="character" w:customStyle="1" w:styleId="a3">
    <w:name w:val="Цветовое выделение"/>
    <w:uiPriority w:val="99"/>
    <w:rsid w:val="00F029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295D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0295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F0295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0295D"/>
  </w:style>
  <w:style w:type="paragraph" w:customStyle="1" w:styleId="ab">
    <w:name w:val="Заголовок статьи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F0295D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0295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color w:val="F0F0F0"/>
    </w:rPr>
  </w:style>
  <w:style w:type="paragraph" w:customStyle="1" w:styleId="af">
    <w:name w:val="Комментари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70"/>
      <w:jc w:val="both"/>
    </w:pPr>
    <w:rPr>
      <w:rFonts w:ascii="Times New Roman" w:hAnsi="Times New Roman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0295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F0295D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F0295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0295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F0295D"/>
  </w:style>
  <w:style w:type="character" w:customStyle="1" w:styleId="af9">
    <w:name w:val="Не вступил в силу"/>
    <w:basedOn w:val="a3"/>
    <w:uiPriority w:val="99"/>
    <w:rsid w:val="00F0295D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18"/>
      <w:jc w:val="both"/>
    </w:pPr>
    <w:rPr>
      <w:rFonts w:ascii="Times New Roman" w:hAnsi="Times New Roman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F0295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0295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0295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0295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18" w:firstLine="602"/>
      <w:jc w:val="both"/>
    </w:pPr>
    <w:rPr>
      <w:rFonts w:ascii="Times New Roman" w:hAnsi="Times New Roman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F0295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0295D"/>
  </w:style>
  <w:style w:type="paragraph" w:customStyle="1" w:styleId="aff6">
    <w:name w:val="Словарная статья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F0295D"/>
  </w:style>
  <w:style w:type="character" w:customStyle="1" w:styleId="aff8">
    <w:name w:val="Сравнение редакций. Добавленный фрагмент"/>
    <w:uiPriority w:val="99"/>
    <w:rsid w:val="00F0295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0295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70" w:right="170"/>
      <w:jc w:val="both"/>
    </w:pPr>
    <w:rPr>
      <w:rFonts w:ascii="Times New Roman" w:hAnsi="Times New Roman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F0295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F0295D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0295D"/>
    <w:pPr>
      <w:jc w:val="center"/>
    </w:pPr>
  </w:style>
  <w:style w:type="paragraph" w:styleId="afff">
    <w:name w:val="List Paragraph"/>
    <w:basedOn w:val="a"/>
    <w:uiPriority w:val="34"/>
    <w:qFormat/>
    <w:rsid w:val="00F0295D"/>
    <w:pPr>
      <w:widowControl w:val="0"/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Times New Roman" w:hAnsi="Times New Roman" w:cs="Arial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F02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f1">
    <w:name w:val="Верхний колонтитул Знак"/>
    <w:basedOn w:val="a0"/>
    <w:link w:val="afff0"/>
    <w:uiPriority w:val="99"/>
    <w:rsid w:val="00F0295D"/>
    <w:rPr>
      <w:rFonts w:ascii="Times New Roman" w:hAnsi="Times New Roman" w:cs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F02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f3">
    <w:name w:val="Нижний колонтитул Знак"/>
    <w:basedOn w:val="a0"/>
    <w:link w:val="afff2"/>
    <w:uiPriority w:val="99"/>
    <w:rsid w:val="00F0295D"/>
    <w:rPr>
      <w:rFonts w:ascii="Times New Roman" w:hAnsi="Times New Roman" w:cs="Arial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F029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F029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F0295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</w:rPr>
  </w:style>
  <w:style w:type="paragraph" w:customStyle="1" w:styleId="ConsPlusNormal">
    <w:name w:val="ConsPlusNormal"/>
    <w:next w:val="a"/>
    <w:rsid w:val="00F02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bidi="ru-RU"/>
    </w:rPr>
  </w:style>
  <w:style w:type="character" w:customStyle="1" w:styleId="12">
    <w:name w:val="Гиперссылка1"/>
    <w:basedOn w:val="a0"/>
    <w:uiPriority w:val="99"/>
    <w:unhideWhenUsed/>
    <w:rsid w:val="00F0295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0295D"/>
    <w:pPr>
      <w:widowControl w:val="0"/>
      <w:autoSpaceDE w:val="0"/>
      <w:autoSpaceDN w:val="0"/>
      <w:adjustRightInd w:val="0"/>
      <w:spacing w:after="100" w:line="360" w:lineRule="auto"/>
      <w:jc w:val="both"/>
    </w:pPr>
    <w:rPr>
      <w:rFonts w:ascii="Times New Roman" w:hAnsi="Times New Roman" w:cs="Arial"/>
      <w:sz w:val="24"/>
      <w:szCs w:val="24"/>
    </w:rPr>
  </w:style>
  <w:style w:type="character" w:styleId="afff6">
    <w:name w:val="Hyperlink"/>
    <w:basedOn w:val="a0"/>
    <w:uiPriority w:val="99"/>
    <w:semiHidden/>
    <w:unhideWhenUsed/>
    <w:rsid w:val="00F02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176.0" TargetMode="External"/><Relationship Id="rId18" Type="http://schemas.openxmlformats.org/officeDocument/2006/relationships/hyperlink" Target="garantF1://12021087.62" TargetMode="External"/><Relationship Id="rId26" Type="http://schemas.openxmlformats.org/officeDocument/2006/relationships/hyperlink" Target="garantF1://12021087.9101" TargetMode="External"/><Relationship Id="rId39" Type="http://schemas.openxmlformats.org/officeDocument/2006/relationships/hyperlink" Target="garantF1://12021087.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1087.50" TargetMode="External"/><Relationship Id="rId34" Type="http://schemas.openxmlformats.org/officeDocument/2006/relationships/hyperlink" Target="garantF1://12021087.71" TargetMode="External"/><Relationship Id="rId42" Type="http://schemas.openxmlformats.org/officeDocument/2006/relationships/hyperlink" Target="garantF1://12021087.9102" TargetMode="External"/><Relationship Id="rId47" Type="http://schemas.openxmlformats.org/officeDocument/2006/relationships/hyperlink" Target="garantF1://10064176.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21087.5001" TargetMode="External"/><Relationship Id="rId12" Type="http://schemas.openxmlformats.org/officeDocument/2006/relationships/hyperlink" Target="garantF1://10064176.0" TargetMode="External"/><Relationship Id="rId17" Type="http://schemas.openxmlformats.org/officeDocument/2006/relationships/hyperlink" Target="garantF1://12021087.50" TargetMode="External"/><Relationship Id="rId25" Type="http://schemas.openxmlformats.org/officeDocument/2006/relationships/hyperlink" Target="garantF1://12021087.50" TargetMode="External"/><Relationship Id="rId33" Type="http://schemas.openxmlformats.org/officeDocument/2006/relationships/hyperlink" Target="garantF1://12021087.50" TargetMode="External"/><Relationship Id="rId38" Type="http://schemas.openxmlformats.org/officeDocument/2006/relationships/hyperlink" Target="garantF1://12021087.50" TargetMode="External"/><Relationship Id="rId46" Type="http://schemas.openxmlformats.org/officeDocument/2006/relationships/hyperlink" Target="garantF1://12021087.9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1087.51" TargetMode="External"/><Relationship Id="rId20" Type="http://schemas.openxmlformats.org/officeDocument/2006/relationships/hyperlink" Target="garantF1://12021087.71" TargetMode="External"/><Relationship Id="rId29" Type="http://schemas.openxmlformats.org/officeDocument/2006/relationships/hyperlink" Target="garantF1://12021087.50" TargetMode="External"/><Relationship Id="rId41" Type="http://schemas.openxmlformats.org/officeDocument/2006/relationships/hyperlink" Target="garantF1://12021087.5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1087.50" TargetMode="External"/><Relationship Id="rId11" Type="http://schemas.openxmlformats.org/officeDocument/2006/relationships/hyperlink" Target="garantF1://7917.0" TargetMode="External"/><Relationship Id="rId24" Type="http://schemas.openxmlformats.org/officeDocument/2006/relationships/hyperlink" Target="garantF1://12021087.75" TargetMode="External"/><Relationship Id="rId32" Type="http://schemas.openxmlformats.org/officeDocument/2006/relationships/hyperlink" Target="garantF1://12021087.70" TargetMode="External"/><Relationship Id="rId37" Type="http://schemas.openxmlformats.org/officeDocument/2006/relationships/hyperlink" Target="garantF1://12021087.50" TargetMode="External"/><Relationship Id="rId40" Type="http://schemas.openxmlformats.org/officeDocument/2006/relationships/hyperlink" Target="garantF1://12013060.2200" TargetMode="External"/><Relationship Id="rId45" Type="http://schemas.openxmlformats.org/officeDocument/2006/relationships/hyperlink" Target="garantF1://12021087.73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1087.50" TargetMode="External"/><Relationship Id="rId23" Type="http://schemas.openxmlformats.org/officeDocument/2006/relationships/hyperlink" Target="garantF1://12021087.50" TargetMode="External"/><Relationship Id="rId28" Type="http://schemas.openxmlformats.org/officeDocument/2006/relationships/hyperlink" Target="garantF1://12021087.51" TargetMode="External"/><Relationship Id="rId36" Type="http://schemas.openxmlformats.org/officeDocument/2006/relationships/hyperlink" Target="garantF1://12021087.75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0064072.14001" TargetMode="External"/><Relationship Id="rId19" Type="http://schemas.openxmlformats.org/officeDocument/2006/relationships/hyperlink" Target="garantF1://12021087.50" TargetMode="External"/><Relationship Id="rId31" Type="http://schemas.openxmlformats.org/officeDocument/2006/relationships/hyperlink" Target="garantF1://12021087.50" TargetMode="External"/><Relationship Id="rId44" Type="http://schemas.openxmlformats.org/officeDocument/2006/relationships/hyperlink" Target="garantF1://12021087.5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1087.5003" TargetMode="External"/><Relationship Id="rId14" Type="http://schemas.openxmlformats.org/officeDocument/2006/relationships/hyperlink" Target="garantF1://12013060.10" TargetMode="External"/><Relationship Id="rId22" Type="http://schemas.openxmlformats.org/officeDocument/2006/relationships/hyperlink" Target="garantF1://12021087.73" TargetMode="External"/><Relationship Id="rId27" Type="http://schemas.openxmlformats.org/officeDocument/2006/relationships/hyperlink" Target="garantF1://12013060.20" TargetMode="External"/><Relationship Id="rId30" Type="http://schemas.openxmlformats.org/officeDocument/2006/relationships/hyperlink" Target="garantF1://12021087.60" TargetMode="External"/><Relationship Id="rId35" Type="http://schemas.openxmlformats.org/officeDocument/2006/relationships/hyperlink" Target="garantF1://12021087.50" TargetMode="External"/><Relationship Id="rId43" Type="http://schemas.openxmlformats.org/officeDocument/2006/relationships/hyperlink" Target="garantF1://12021087.94" TargetMode="External"/><Relationship Id="rId48" Type="http://schemas.openxmlformats.org/officeDocument/2006/relationships/hyperlink" Target="garantF1://12025267.151" TargetMode="External"/><Relationship Id="rId8" Type="http://schemas.openxmlformats.org/officeDocument/2006/relationships/hyperlink" Target="garantF1://12021087.5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3</cp:revision>
  <dcterms:created xsi:type="dcterms:W3CDTF">2016-03-21T06:49:00Z</dcterms:created>
  <dcterms:modified xsi:type="dcterms:W3CDTF">2020-04-01T14:48:00Z</dcterms:modified>
</cp:coreProperties>
</file>