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B7" w:rsidRPr="00550B6A" w:rsidRDefault="007678B7" w:rsidP="00550B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50B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Принципы исчисления и порядок организации расчетов с бюджетом по налогу на имущество организаций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Налогоплательщики: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российские организации;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организации, осуществляющие деятельность в Российской Федерации через постоянные представительства и (или) имеющие в собственности недвижимое имущество на территории Российской Федерации.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период: календарный год(Отчетный период: квартал, полугодие, девять месяцев год).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ставка: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ставка определяется отдельно для каждого субъекта законами субъектов РФ и не должна превышать 2,2%.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Татарстана установлена ставка в размере 2,2%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налогообложения: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налогообложения для российских организаций признается движимое и недвижимое имущество, учитываемое на балансе в качестве объектов основных средств в порядке, установленном для ведения бухгалтерского учета.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налогообложения для иностранных организаций, осуществляющих деятельность в Российской Федерации через постоянные представительства, признаются движимое и недвижимое имущество, относящееся к объектам основных средств, имущество, полученное по концессионному соглашению.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база определяется как среднегодовая стоимость имущества, признаваемого объектом налогообложения.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налоговой базы имущество, признаваемое объектом налогообложения,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для отдельных объектов основных средств начисление амортизации не предусмотрено, стоимость указанных объектов для целей налогообложения определяется как разница между их первоначальной </w:t>
      </w: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стоимостью и величиной износа, исчисляемой по установленным нормам амортизационных отчислений для целей бухгалтерского учета в конце каждого налогового (отчетного) периода.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Ежеквартальные авансовые платежи производятся по итогам каждого отчетного периода в размере 1/4 произведения налоговой ставки и средней стоимости имущества в сроки не позднее 30 дней с даты окончания соответствующего отчетного периода.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объектам недвижимого имущества иностранных организаций - 1/4 инвентаризационной стоимости объекта по состоянию на 1 января года - налогового периода, умноженная на ставку налога.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расчеты по авансовым платежам представляются в налоговый орган по своему местонахождению, по местонахождению каждого своего обособленного подразделения, а также по местонахождению каждого объекта недвижимого имущества не позднее 30 дней со дня окончания отчетного периода. Налоговые декларации1 представляются и оплата производится по итогам налогового периода (календарного года) не позднее 30 марта следующего за истекшим плановым периодом.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организации, осуществляющие деятельность в Российской Федерации через постоянные представительства, уплачивают налог и авансовые платежи в те же сроки по месту постановки на учет этих представительств. В иных случаях иностранные организации обязаны уплачивать авансовые платежи и налог по местонахождению объекта недвижимого имущества.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Крупнейшие налогоплательщики представляют налоговые декларации (расчеты) в налоговый орган по месту учета в качестве крупнейших.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налога, уплаченная за пределами РФ в соответствии с законодательством другого государства, засчитывается при уплате налога в РФ, но не может превысить размер суммы налога, подлежащего уплате в РФ в отношении имущества, принадлежащего российской организации.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определения налогооблагаемой базы производится начисление и перечисление налога в бюджет: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 налог на имущество: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Д 91/2 – К 68/налог на имущество организации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Уплачен налог на имущество:</w:t>
      </w:r>
    </w:p>
    <w:p w:rsidR="007678B7" w:rsidRPr="007678B7" w:rsidRDefault="007678B7" w:rsidP="00767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8B7">
        <w:rPr>
          <w:rFonts w:ascii="Times New Roman" w:eastAsia="Times New Roman" w:hAnsi="Times New Roman" w:cs="Times New Roman"/>
          <w:color w:val="000000"/>
          <w:sz w:val="28"/>
          <w:szCs w:val="28"/>
        </w:rPr>
        <w:t>Д 68/налог на имущество организации – К 51</w:t>
      </w:r>
    </w:p>
    <w:p w:rsidR="00FD4766" w:rsidRPr="007678B7" w:rsidRDefault="00FD4766" w:rsidP="007678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766" w:rsidRPr="007678B7" w:rsidSect="007B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BC5"/>
    <w:multiLevelType w:val="multilevel"/>
    <w:tmpl w:val="6FD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D4766"/>
    <w:rsid w:val="00550B6A"/>
    <w:rsid w:val="007678B7"/>
    <w:rsid w:val="007B00AD"/>
    <w:rsid w:val="00CE09E6"/>
    <w:rsid w:val="00FD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D"/>
  </w:style>
  <w:style w:type="paragraph" w:styleId="1">
    <w:name w:val="heading 1"/>
    <w:basedOn w:val="a"/>
    <w:link w:val="10"/>
    <w:uiPriority w:val="9"/>
    <w:qFormat/>
    <w:rsid w:val="00FD4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4</cp:revision>
  <dcterms:created xsi:type="dcterms:W3CDTF">2020-03-22T17:41:00Z</dcterms:created>
  <dcterms:modified xsi:type="dcterms:W3CDTF">2020-04-01T14:18:00Z</dcterms:modified>
</cp:coreProperties>
</file>