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64" w:rsidRPr="00582C64" w:rsidRDefault="00582C64" w:rsidP="00582C64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color w:val="008080"/>
          <w:kern w:val="36"/>
          <w:sz w:val="48"/>
          <w:szCs w:val="48"/>
          <w:lang w:eastAsia="ru-RU"/>
        </w:rPr>
      </w:pPr>
      <w:r w:rsidRPr="00582C64">
        <w:rPr>
          <w:rFonts w:ascii="Arial" w:eastAsia="Times New Roman" w:hAnsi="Arial" w:cs="Arial"/>
          <w:color w:val="008080"/>
          <w:kern w:val="36"/>
          <w:sz w:val="48"/>
          <w:szCs w:val="48"/>
          <w:lang w:eastAsia="ru-RU"/>
        </w:rPr>
        <w:t>Условные операторы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Бывает, что в процессе выполнения программы требуется реализовать разный набор команд в зависимости от произошедших до этого событий. В языках программирования это достигается с помощью специальных конструкций –</w:t>
      </w:r>
      <w:r w:rsidRPr="00582C64">
        <w:rPr>
          <w:rFonts w:ascii="Arial" w:eastAsia="Times New Roman" w:hAnsi="Arial" w:cs="Arial"/>
          <w:i/>
          <w:iCs/>
          <w:color w:val="3B3B3B"/>
          <w:sz w:val="30"/>
          <w:lang w:eastAsia="ru-RU"/>
        </w:rPr>
        <w:t> условных операторов</w:t>
      </w: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.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Чаще всего в качестве условного оператора в языках программирования используется конструкция </w:t>
      </w:r>
      <w:proofErr w:type="spellStart"/>
      <w:r w:rsidRPr="00582C64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if-else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 или ее сокращенный вариант </w:t>
      </w:r>
      <w:proofErr w:type="spellStart"/>
      <w:r w:rsidRPr="00582C64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if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. Также существует оператор выбора </w:t>
      </w:r>
      <w:proofErr w:type="spellStart"/>
      <w:r w:rsidRPr="00582C64">
        <w:rPr>
          <w:rFonts w:ascii="Arial" w:eastAsia="Times New Roman" w:hAnsi="Arial" w:cs="Arial"/>
          <w:b/>
          <w:bCs/>
          <w:color w:val="3B3B3B"/>
          <w:sz w:val="30"/>
          <w:lang w:eastAsia="ru-RU"/>
        </w:rPr>
        <w:t>case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, который имеет более специфичное применение.</w:t>
      </w:r>
    </w:p>
    <w:p w:rsidR="00582C64" w:rsidRPr="00582C64" w:rsidRDefault="00582C64" w:rsidP="00582C6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3B3B3B"/>
          <w:sz w:val="30"/>
          <w:szCs w:val="30"/>
          <w:lang w:eastAsia="ru-RU"/>
        </w:rPr>
        <w:drawing>
          <wp:inline distT="0" distB="0" distL="0" distR="0">
            <wp:extent cx="5830570" cy="6092190"/>
            <wp:effectExtent l="19050" t="0" r="0" b="0"/>
            <wp:docPr id="1" name="Рисунок 1" descr="Блок схема оператора if-else и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схема оператора if-else и ca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6"/>
          <w:szCs w:val="36"/>
          <w:lang w:eastAsia="ru-RU"/>
        </w:rPr>
        <w:lastRenderedPageBreak/>
        <w:t xml:space="preserve">Оператор </w:t>
      </w:r>
      <w:proofErr w:type="spellStart"/>
      <w:r w:rsidRPr="00582C64">
        <w:rPr>
          <w:rFonts w:ascii="Arial" w:eastAsia="Times New Roman" w:hAnsi="Arial" w:cs="Arial"/>
          <w:color w:val="3B3B3B"/>
          <w:sz w:val="36"/>
          <w:szCs w:val="36"/>
          <w:lang w:eastAsia="ru-RU"/>
        </w:rPr>
        <w:t>if-else</w:t>
      </w:r>
      <w:proofErr w:type="spellEnd"/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Когда выполнение основной ветки программы доходит до условного оператора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if-else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, то в зависимости от результата логического выражения в его заголовке выполняются разные блоки кода. Если логическое выражение вернуло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true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, то выполняется один блок (в Паскале начинается со слова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then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), если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false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– то другой (начинается со слова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). После выполнения одного из вложенных блоков кода, ход программы возвращается в основную ветку. Другой вложенный блок не выполняется.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Например, программа должна определять, ввел пользователь четное или нечетное число, и выводить на экран сообщение. Тогда программный код на языке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Pascal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может быть таким: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var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proofErr w:type="spellStart"/>
      <w:r w:rsidRPr="00582C64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integer</w:t>
      </w:r>
      <w:proofErr w:type="spellEnd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begin</w:t>
      </w:r>
      <w:proofErr w:type="spellEnd"/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'Введите целое число: 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n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if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mod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then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'Оно четное.'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else</w:t>
      </w:r>
      <w:proofErr w:type="spellEnd"/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'Оно нечетное.'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 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readln</w:t>
      </w:r>
      <w:proofErr w:type="spellEnd"/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Бывают неполные формы условных операторов. В таком случае вложенный в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блок кода выполняется только в случая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true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логическом выражении заголовка. В случае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false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выполнение программы сразу передается в основной блок. Понятно, что ветка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в таком случае отсутствует.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В примере ниже, если переменная имеет значение меньше нуля, то ее значение изменяется (находится модуль числа). Если же значение переменной изначально больше нуля, то блок кода при операторе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вообще не выполняется, т.к. не соблюдено условие (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n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&lt;0).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Введите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целое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число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: 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n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if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 &lt; 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0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then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n 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abs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n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proofErr w:type="spellStart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n</w:t>
      </w:r>
      <w:proofErr w:type="spellEnd"/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 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readln</w:t>
      </w:r>
      <w:proofErr w:type="spellEnd"/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</w:t>
      </w:r>
    </w:p>
    <w:p w:rsidR="00582C64" w:rsidRPr="00582C64" w:rsidRDefault="00582C64" w:rsidP="00582C6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hyperlink r:id="rId6" w:tgtFrame="_blank" w:history="1">
        <w:r w:rsidRPr="00582C64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₽</w:t>
        </w:r>
      </w:hyperlink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Дистанционные курсы по медицине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В качестве условия может стоять любое выражение, результатом вычисления которого является одно из булевых значений —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true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или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false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.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Непосредственно после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then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может стоять только один оператор. При необходимости выполнения нескольких операторов они должны быть заключены в операторные скобки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begin-end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. Пример программы, которая меняет значения переменных местами, только если эти значения различны. Блок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содержит четыре выражения, поэтому заключен в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begin-end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.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b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c</w:t>
      </w:r>
      <w:proofErr w:type="spellEnd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'a='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'b='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b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if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a &lt;&gt; b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then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c 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a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a 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b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b 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c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writeln</w:t>
      </w:r>
      <w:proofErr w:type="spellEnd"/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'a='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'; b='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b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else</w:t>
      </w:r>
      <w:proofErr w:type="spellEnd"/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writeln</w:t>
      </w:r>
      <w:proofErr w:type="spellEnd"/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'Введены одинаковые числа'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 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readln</w:t>
      </w:r>
      <w:proofErr w:type="spellEnd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Допустимо вложение одного оператора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(или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if-else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) в другой. При этом следует соблюдать осторожность, т.е. бывает трудно определить какому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(внешнему или внутреннему) принадлежит ветка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. Рекомендуют использовать вложенную конструкцию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, только в ветке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. К тому же в языке Паскаль действует следующее правило: каждому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then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соответствует ближайшее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, не задействованное при установлении соответствия с другим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then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. Глубина вложенности операторов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может быть сколь угодно большой, но разобраться в таком коде будет очень сложно.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582C64"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Оператор </w:t>
      </w:r>
      <w:proofErr w:type="spellStart"/>
      <w:r w:rsidRPr="00582C64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case</w:t>
      </w:r>
      <w:proofErr w:type="spellEnd"/>
      <w:r w:rsidRPr="00582C64"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 (оператор выбора)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lastRenderedPageBreak/>
        <w:t xml:space="preserve">Кроме оператора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в языке программирования Паскаль предусмотрен так называемый переключатель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case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. Его можно трактовать как некий вопрос, имеющий большое число ответов (а не только два, как это имеет место в операторе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if-else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). Однако в отличие от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if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,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case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имеет ряд принципиальных ограничений. Его формат следующий: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case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селектор </w:t>
      </w: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of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значение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оператор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значение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2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оператор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2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значение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3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оператор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3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...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</w: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else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proofErr w:type="spellStart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операторN</w:t>
      </w:r>
      <w:proofErr w:type="spellEnd"/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В заголовке оператора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case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вместо логического выражения фигурирует переменная, которую называют селектором. До этого в программе ей присваивается какое-либо значение. Эта переменная может иметь только перечисляемый тип (например, она не может быть вещественного типа). По ходу выполнения оператора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case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, значение переменной-селектора сравнивается с различными, описанными в нем альтернативами (метками-значениями). Как только совпадение будет найдено, то выполняется блок кода при данной метке и происходит выход в основную ветку программы. Значения-метки являются константами, которые может принимать селектор. Их тип и тип селектора должны быть совместимы по присваиванию.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Если совпадений не будет, то выполняется блок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. Если блок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else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отсутствует (он является не обязательным), то никакой блок кода в операторе </w:t>
      </w:r>
      <w:proofErr w:type="spellStart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case</w:t>
      </w:r>
      <w:proofErr w:type="spellEnd"/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 xml:space="preserve"> не выполняется.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proofErr w:type="spellStart"/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Введите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класс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школы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: 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n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case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n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of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..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4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writeln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Младшие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классы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.'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    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5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..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8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writeln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'Средняя школа.'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9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,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11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writeln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'Старшие классы. Выпускной.'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</w:t>
      </w:r>
      <w:r w:rsidRPr="00582C64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10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: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writeln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'Старшие классы.'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else</w:t>
      </w: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writeln</w:t>
      </w:r>
      <w:proofErr w:type="spellEnd"/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582C64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'Error'</w:t>
      </w:r>
      <w:r w:rsidRPr="00582C64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proofErr w:type="spellStart"/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</w:p>
    <w:p w:rsidR="00582C64" w:rsidRPr="00582C64" w:rsidRDefault="00582C64" w:rsidP="00582C64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582C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r w:rsidRPr="00582C64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.</w:t>
      </w:r>
    </w:p>
    <w:p w:rsidR="00582C64" w:rsidRPr="00582C64" w:rsidRDefault="00582C64" w:rsidP="00582C64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На использование оператора выбора накладываются следующие ограничения:</w:t>
      </w:r>
    </w:p>
    <w:p w:rsidR="00582C64" w:rsidRPr="00582C64" w:rsidRDefault="00582C64" w:rsidP="00582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lastRenderedPageBreak/>
        <w:t>селектор должен иметь какой-либо порядковый тип;</w:t>
      </w:r>
    </w:p>
    <w:p w:rsidR="00582C64" w:rsidRPr="00582C64" w:rsidRDefault="00582C64" w:rsidP="00582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B3B3B"/>
          <w:sz w:val="30"/>
          <w:szCs w:val="30"/>
          <w:lang w:eastAsia="ru-RU"/>
        </w:rPr>
      </w:pPr>
      <w:r w:rsidRPr="00582C64">
        <w:rPr>
          <w:rFonts w:ascii="Arial" w:eastAsia="Times New Roman" w:hAnsi="Arial" w:cs="Arial"/>
          <w:color w:val="3B3B3B"/>
          <w:sz w:val="30"/>
          <w:szCs w:val="30"/>
          <w:lang w:eastAsia="ru-RU"/>
        </w:rPr>
        <w:t>каждая альтернатива должна быть константой, диапазоном, списком диапазонов, но не переменной или выражением.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20C"/>
    <w:multiLevelType w:val="multilevel"/>
    <w:tmpl w:val="CB2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82C64"/>
    <w:rsid w:val="000F5439"/>
    <w:rsid w:val="00582C64"/>
    <w:rsid w:val="006E6FC4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582C6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2C6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2C64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C6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C6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C64"/>
    <w:rPr>
      <w:rFonts w:eastAsia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582C64"/>
  </w:style>
  <w:style w:type="paragraph" w:styleId="a3">
    <w:name w:val="Normal (Web)"/>
    <w:basedOn w:val="a"/>
    <w:uiPriority w:val="99"/>
    <w:semiHidden/>
    <w:unhideWhenUsed/>
    <w:rsid w:val="00582C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2C64"/>
    <w:rPr>
      <w:i/>
      <w:iCs/>
    </w:rPr>
  </w:style>
  <w:style w:type="character" w:styleId="a5">
    <w:name w:val="Strong"/>
    <w:basedOn w:val="a0"/>
    <w:uiPriority w:val="22"/>
    <w:qFormat/>
    <w:rsid w:val="00582C6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8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82C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4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8" w:space="6" w:color="CCCCCC"/>
                                <w:left w:val="single" w:sz="8" w:space="6" w:color="CCCCCC"/>
                                <w:bottom w:val="single" w:sz="8" w:space="6" w:color="CCCCCC"/>
                                <w:right w:val="single" w:sz="8" w:space="6" w:color="CCCCCC"/>
                              </w:divBdr>
                            </w:div>
                          </w:divsChild>
                        </w:div>
                        <w:div w:id="20337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11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8" w:space="6" w:color="CCCCCC"/>
                                <w:left w:val="single" w:sz="8" w:space="6" w:color="CCCCCC"/>
                                <w:bottom w:val="single" w:sz="8" w:space="6" w:color="CCCCCC"/>
                                <w:right w:val="single" w:sz="8" w:space="6" w:color="CCCCCC"/>
                              </w:divBdr>
                            </w:div>
                          </w:divsChild>
                        </w:div>
                        <w:div w:id="12914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15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8" w:space="6" w:color="CCCCCC"/>
                                <w:left w:val="single" w:sz="8" w:space="6" w:color="CCCCCC"/>
                                <w:bottom w:val="single" w:sz="8" w:space="6" w:color="CCCCCC"/>
                                <w:right w:val="single" w:sz="8" w:space="6" w:color="CCCCCC"/>
                              </w:divBdr>
                            </w:div>
                          </w:divsChild>
                        </w:div>
                        <w:div w:id="73755280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8" w:space="6" w:color="CCCCCC"/>
                            <w:left w:val="single" w:sz="8" w:space="6" w:color="CCCCCC"/>
                            <w:bottom w:val="single" w:sz="8" w:space="6" w:color="CCCCCC"/>
                            <w:right w:val="single" w:sz="8" w:space="6" w:color="CCCCCC"/>
                          </w:divBdr>
                        </w:div>
                        <w:div w:id="449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17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8" w:space="6" w:color="CCCCCC"/>
                                <w:left w:val="single" w:sz="8" w:space="6" w:color="CCCCCC"/>
                                <w:bottom w:val="single" w:sz="8" w:space="6" w:color="CCCCCC"/>
                                <w:right w:val="single" w:sz="8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.yandex.ru/?partn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2020-04-03T10:34:00Z</dcterms:created>
  <dcterms:modified xsi:type="dcterms:W3CDTF">2020-04-03T10:35:00Z</dcterms:modified>
</cp:coreProperties>
</file>